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F7533" w14:textId="77446880" w:rsidR="00356FF8" w:rsidRPr="00143D67" w:rsidRDefault="00F47104" w:rsidP="00D207F4">
      <w:pPr>
        <w:pStyle w:val="Prrafodelista"/>
        <w:jc w:val="both"/>
        <w:rPr>
          <w:rFonts w:ascii="Arial" w:hAnsi="Arial" w:cs="Arial"/>
          <w:b/>
          <w:bCs/>
          <w:sz w:val="24"/>
          <w:szCs w:val="24"/>
        </w:rPr>
      </w:pPr>
      <w:r>
        <w:rPr>
          <w:rFonts w:ascii="Arial" w:hAnsi="Arial" w:cs="Arial"/>
          <w:b/>
          <w:bCs/>
          <w:sz w:val="24"/>
          <w:szCs w:val="24"/>
        </w:rPr>
        <w:t>Consideraciones sobre el a</w:t>
      </w:r>
      <w:r w:rsidR="00356FF8" w:rsidRPr="00143D67">
        <w:rPr>
          <w:rFonts w:ascii="Arial" w:hAnsi="Arial" w:cs="Arial"/>
          <w:b/>
          <w:bCs/>
          <w:sz w:val="24"/>
          <w:szCs w:val="24"/>
        </w:rPr>
        <w:t>nteproyecto de reglamento interior del Instituto de Pensiones del Estado de Jalisco</w:t>
      </w:r>
      <w:r w:rsidR="009D5727">
        <w:rPr>
          <w:rFonts w:ascii="Arial" w:hAnsi="Arial" w:cs="Arial"/>
          <w:b/>
          <w:bCs/>
          <w:sz w:val="24"/>
          <w:szCs w:val="24"/>
        </w:rPr>
        <w:t xml:space="preserve"> (IPEJAL)</w:t>
      </w:r>
    </w:p>
    <w:p w14:paraId="6F476670" w14:textId="4A41D451" w:rsidR="00356FF8" w:rsidRDefault="00356FF8" w:rsidP="00D207F4">
      <w:pPr>
        <w:pStyle w:val="Prrafodelista"/>
        <w:jc w:val="both"/>
        <w:rPr>
          <w:rFonts w:ascii="Arial" w:hAnsi="Arial" w:cs="Arial"/>
          <w:sz w:val="24"/>
          <w:szCs w:val="24"/>
        </w:rPr>
      </w:pPr>
    </w:p>
    <w:p w14:paraId="5A7AFBCB" w14:textId="3B1A88D1" w:rsidR="009D5727" w:rsidRDefault="009D5727" w:rsidP="00D207F4">
      <w:pPr>
        <w:pStyle w:val="Prrafodelista"/>
        <w:jc w:val="both"/>
        <w:rPr>
          <w:rFonts w:ascii="Arial" w:hAnsi="Arial" w:cs="Arial"/>
          <w:sz w:val="24"/>
          <w:szCs w:val="24"/>
        </w:rPr>
      </w:pPr>
    </w:p>
    <w:p w14:paraId="03FF8D40" w14:textId="6A717EAF" w:rsidR="009D5727" w:rsidRDefault="009D5727" w:rsidP="00D207F4">
      <w:pPr>
        <w:pStyle w:val="Prrafodelista"/>
        <w:jc w:val="both"/>
        <w:rPr>
          <w:rFonts w:ascii="Arial" w:hAnsi="Arial" w:cs="Arial"/>
          <w:sz w:val="24"/>
          <w:szCs w:val="24"/>
        </w:rPr>
      </w:pPr>
      <w:bookmarkStart w:id="0" w:name="_Hlk75365667"/>
      <w:r>
        <w:rPr>
          <w:rFonts w:ascii="Arial" w:hAnsi="Arial" w:cs="Arial"/>
          <w:sz w:val="24"/>
          <w:szCs w:val="24"/>
        </w:rPr>
        <w:t>Con el objetivo de obtener el dictamen favorable de la estructura organizacional y del Anteproyecto de Reglamento</w:t>
      </w:r>
      <w:r w:rsidR="00D57D87">
        <w:rPr>
          <w:rFonts w:ascii="Arial" w:hAnsi="Arial" w:cs="Arial"/>
          <w:sz w:val="24"/>
          <w:szCs w:val="24"/>
        </w:rPr>
        <w:t>,</w:t>
      </w:r>
      <w:r w:rsidR="003844A6">
        <w:rPr>
          <w:rFonts w:ascii="Arial" w:hAnsi="Arial" w:cs="Arial"/>
          <w:sz w:val="24"/>
          <w:szCs w:val="24"/>
        </w:rPr>
        <w:t xml:space="preserve"> se hacen las siguientes consideraciones respecto de los cambios de la estructura </w:t>
      </w:r>
      <w:r w:rsidR="00D57D87">
        <w:rPr>
          <w:rFonts w:ascii="Arial" w:hAnsi="Arial" w:cs="Arial"/>
          <w:sz w:val="24"/>
          <w:szCs w:val="24"/>
        </w:rPr>
        <w:t xml:space="preserve"> </w:t>
      </w:r>
    </w:p>
    <w:p w14:paraId="42E54947" w14:textId="77777777" w:rsidR="009D5727" w:rsidRDefault="009D5727" w:rsidP="00D207F4">
      <w:pPr>
        <w:pStyle w:val="Prrafodelista"/>
        <w:jc w:val="both"/>
        <w:rPr>
          <w:rFonts w:ascii="Arial" w:hAnsi="Arial" w:cs="Arial"/>
          <w:sz w:val="24"/>
          <w:szCs w:val="24"/>
        </w:rPr>
      </w:pPr>
    </w:p>
    <w:p w14:paraId="3ED951C9" w14:textId="32235A3F" w:rsidR="009D5727" w:rsidRPr="009D5727" w:rsidRDefault="009D5727" w:rsidP="00D207F4">
      <w:pPr>
        <w:pStyle w:val="Prrafodelista"/>
        <w:jc w:val="both"/>
        <w:rPr>
          <w:rFonts w:ascii="Arial" w:hAnsi="Arial" w:cs="Arial"/>
          <w:b/>
          <w:bCs/>
          <w:sz w:val="24"/>
          <w:szCs w:val="24"/>
        </w:rPr>
      </w:pPr>
      <w:bookmarkStart w:id="1" w:name="_Hlk75366626"/>
    </w:p>
    <w:p w14:paraId="1149EEA4" w14:textId="0FFE4AF4" w:rsidR="009D5727" w:rsidRPr="009D5727" w:rsidRDefault="009D5727" w:rsidP="00D207F4">
      <w:pPr>
        <w:pStyle w:val="Prrafodelista"/>
        <w:numPr>
          <w:ilvl w:val="0"/>
          <w:numId w:val="4"/>
        </w:numPr>
        <w:jc w:val="both"/>
        <w:rPr>
          <w:rFonts w:ascii="Arial" w:hAnsi="Arial" w:cs="Arial"/>
          <w:b/>
          <w:bCs/>
          <w:sz w:val="24"/>
          <w:szCs w:val="24"/>
        </w:rPr>
      </w:pPr>
      <w:r w:rsidRPr="009D5727">
        <w:rPr>
          <w:rFonts w:ascii="Arial" w:hAnsi="Arial" w:cs="Arial"/>
          <w:b/>
          <w:bCs/>
          <w:sz w:val="24"/>
          <w:szCs w:val="24"/>
        </w:rPr>
        <w:t xml:space="preserve">Alineación del anteproyecto de Reglamento al Plan Estatal de Desarrollo. </w:t>
      </w:r>
    </w:p>
    <w:p w14:paraId="00C8CD6D" w14:textId="77777777" w:rsidR="009D5727" w:rsidRPr="009D5727" w:rsidRDefault="009D5727" w:rsidP="00D207F4">
      <w:pPr>
        <w:pStyle w:val="Prrafodelista"/>
        <w:jc w:val="both"/>
        <w:rPr>
          <w:rFonts w:ascii="Arial" w:hAnsi="Arial" w:cs="Arial"/>
          <w:b/>
          <w:bCs/>
          <w:sz w:val="24"/>
          <w:szCs w:val="24"/>
        </w:rPr>
      </w:pPr>
    </w:p>
    <w:p w14:paraId="47D9E8E0" w14:textId="473FFA96" w:rsidR="00F47104" w:rsidRDefault="00BA76AA" w:rsidP="00D207F4">
      <w:pPr>
        <w:pStyle w:val="Prrafodelista"/>
        <w:jc w:val="both"/>
        <w:rPr>
          <w:rFonts w:ascii="Arial" w:hAnsi="Arial" w:cs="Arial"/>
          <w:sz w:val="24"/>
          <w:szCs w:val="24"/>
        </w:rPr>
      </w:pPr>
      <w:r>
        <w:rPr>
          <w:rFonts w:ascii="Arial" w:hAnsi="Arial" w:cs="Arial"/>
          <w:sz w:val="24"/>
          <w:szCs w:val="24"/>
        </w:rPr>
        <w:t xml:space="preserve">El Instituto de Pensiones del Estado de Jalisco (IPEJAL o Instituto) es una instancia </w:t>
      </w:r>
      <w:r w:rsidRPr="00BA76AA">
        <w:rPr>
          <w:rFonts w:ascii="Arial" w:hAnsi="Arial" w:cs="Arial"/>
          <w:i/>
          <w:iCs/>
          <w:sz w:val="24"/>
          <w:szCs w:val="24"/>
        </w:rPr>
        <w:t>sui generis</w:t>
      </w:r>
      <w:r>
        <w:rPr>
          <w:rFonts w:ascii="Arial" w:hAnsi="Arial" w:cs="Arial"/>
          <w:sz w:val="24"/>
          <w:szCs w:val="24"/>
        </w:rPr>
        <w:t xml:space="preserve"> de la administración pública descentralizada del Ejecutivo Estatal que tiene estatuto de observador en los trabajos de</w:t>
      </w:r>
      <w:r w:rsidR="00353B83">
        <w:rPr>
          <w:rFonts w:ascii="Arial" w:hAnsi="Arial" w:cs="Arial"/>
          <w:sz w:val="24"/>
          <w:szCs w:val="24"/>
        </w:rPr>
        <w:t xml:space="preserve"> </w:t>
      </w:r>
      <w:r w:rsidR="00F47104">
        <w:rPr>
          <w:rFonts w:ascii="Arial" w:hAnsi="Arial" w:cs="Arial"/>
          <w:sz w:val="24"/>
          <w:szCs w:val="24"/>
        </w:rPr>
        <w:t xml:space="preserve">diseño, construcción, implementación y seguimiento; y, por lo tanto, </w:t>
      </w:r>
      <w:r>
        <w:rPr>
          <w:rFonts w:ascii="Arial" w:hAnsi="Arial" w:cs="Arial"/>
          <w:sz w:val="24"/>
          <w:szCs w:val="24"/>
        </w:rPr>
        <w:t xml:space="preserve">ajena a los procesos administrativos ligados al </w:t>
      </w:r>
      <w:r w:rsidR="00F47104">
        <w:rPr>
          <w:rFonts w:ascii="Arial" w:hAnsi="Arial" w:cs="Arial"/>
          <w:sz w:val="24"/>
          <w:szCs w:val="24"/>
        </w:rPr>
        <w:t xml:space="preserve">diseño, construcción, implementación y seguimiento del </w:t>
      </w:r>
      <w:r>
        <w:rPr>
          <w:rFonts w:ascii="Arial" w:hAnsi="Arial" w:cs="Arial"/>
          <w:sz w:val="24"/>
          <w:szCs w:val="24"/>
        </w:rPr>
        <w:t>Plan Estatal de Desarrollo.</w:t>
      </w:r>
    </w:p>
    <w:p w14:paraId="42F3827A" w14:textId="77777777" w:rsidR="00F47104" w:rsidRDefault="00F47104" w:rsidP="00D207F4">
      <w:pPr>
        <w:pStyle w:val="Prrafodelista"/>
        <w:jc w:val="both"/>
        <w:rPr>
          <w:rFonts w:ascii="Arial" w:hAnsi="Arial" w:cs="Arial"/>
          <w:sz w:val="24"/>
          <w:szCs w:val="24"/>
        </w:rPr>
      </w:pPr>
    </w:p>
    <w:p w14:paraId="44E19DCD" w14:textId="358B6B1A" w:rsidR="00BA76AA" w:rsidRDefault="00F47104" w:rsidP="00D207F4">
      <w:pPr>
        <w:pStyle w:val="Prrafodelista"/>
        <w:jc w:val="both"/>
        <w:rPr>
          <w:rFonts w:ascii="Arial" w:hAnsi="Arial" w:cs="Arial"/>
          <w:sz w:val="24"/>
          <w:szCs w:val="24"/>
        </w:rPr>
      </w:pPr>
      <w:r>
        <w:rPr>
          <w:rFonts w:ascii="Arial" w:hAnsi="Arial" w:cs="Arial"/>
          <w:sz w:val="24"/>
          <w:szCs w:val="24"/>
        </w:rPr>
        <w:t xml:space="preserve">Por esta razón, las políticas de atención a sus derechohabientes quedan fuera del alcance de los instrumentos de planeación del gobierno del estado. Sin embargo, esto no quiere decir que dichos instrumentos no sean elementos que permitan calibrar su acción organizacional. </w:t>
      </w:r>
      <w:r w:rsidR="00DB2B8B">
        <w:rPr>
          <w:rFonts w:ascii="Arial" w:hAnsi="Arial" w:cs="Arial"/>
          <w:sz w:val="24"/>
          <w:szCs w:val="24"/>
        </w:rPr>
        <w:t>En el marco del Sistema Estatal de Planeación, el 26 de octubre de 2019 se expidió el Plan General del Instituto de Pensiones del Estado de Jalisco (PGI), con el fin de</w:t>
      </w:r>
      <w:r w:rsidR="00DB2B8B" w:rsidRPr="00DB2B8B">
        <w:rPr>
          <w:rFonts w:ascii="Arial" w:hAnsi="Arial" w:cs="Arial"/>
          <w:sz w:val="24"/>
          <w:szCs w:val="24"/>
        </w:rPr>
        <w:t xml:space="preserve"> </w:t>
      </w:r>
      <w:r w:rsidR="00DB2B8B">
        <w:rPr>
          <w:rFonts w:ascii="Arial" w:hAnsi="Arial" w:cs="Arial"/>
          <w:sz w:val="24"/>
          <w:szCs w:val="24"/>
        </w:rPr>
        <w:t>“</w:t>
      </w:r>
      <w:r w:rsidR="00DB2B8B" w:rsidRPr="00DB2B8B">
        <w:rPr>
          <w:rFonts w:ascii="Arial" w:hAnsi="Arial" w:cs="Arial"/>
          <w:i/>
          <w:iCs/>
          <w:sz w:val="24"/>
          <w:szCs w:val="24"/>
        </w:rPr>
        <w:t>identificar los programas institucionales, sus proyectos, sus objetivos y el establecimiento de metas que contribuyen al fortalecimiento financiero del Instituto y garanticen el otorgamiento de prestaciones de seguridad social a sus afiliados y pensionados</w:t>
      </w:r>
      <w:r w:rsidR="00DB2B8B">
        <w:rPr>
          <w:rFonts w:ascii="Arial" w:hAnsi="Arial" w:cs="Arial"/>
          <w:sz w:val="24"/>
          <w:szCs w:val="24"/>
        </w:rPr>
        <w:t xml:space="preserve"> (PGI, p. 8)”. </w:t>
      </w:r>
    </w:p>
    <w:p w14:paraId="3C74E8EA" w14:textId="377F492F" w:rsidR="00BA76AA" w:rsidRDefault="00BA76AA" w:rsidP="00D207F4">
      <w:pPr>
        <w:pStyle w:val="Prrafodelista"/>
        <w:jc w:val="both"/>
        <w:rPr>
          <w:rFonts w:ascii="Arial" w:hAnsi="Arial" w:cs="Arial"/>
          <w:sz w:val="24"/>
          <w:szCs w:val="24"/>
        </w:rPr>
      </w:pPr>
    </w:p>
    <w:p w14:paraId="29274F8A" w14:textId="77777777" w:rsidR="00D207F4" w:rsidRDefault="00D207F4" w:rsidP="00D207F4">
      <w:pPr>
        <w:pStyle w:val="Prrafodelista"/>
        <w:jc w:val="both"/>
        <w:rPr>
          <w:rFonts w:ascii="Arial" w:hAnsi="Arial" w:cs="Arial"/>
          <w:sz w:val="24"/>
          <w:szCs w:val="24"/>
        </w:rPr>
      </w:pPr>
    </w:p>
    <w:p w14:paraId="7B578FCA" w14:textId="3CC11C19" w:rsidR="00D207F4" w:rsidRPr="00D207F4" w:rsidRDefault="00D207F4" w:rsidP="00D207F4">
      <w:pPr>
        <w:pStyle w:val="Prrafodelista"/>
        <w:numPr>
          <w:ilvl w:val="0"/>
          <w:numId w:val="4"/>
        </w:numPr>
        <w:jc w:val="both"/>
        <w:rPr>
          <w:rFonts w:ascii="Arial" w:hAnsi="Arial" w:cs="Arial"/>
          <w:b/>
          <w:bCs/>
          <w:sz w:val="24"/>
          <w:szCs w:val="24"/>
        </w:rPr>
      </w:pPr>
      <w:r w:rsidRPr="00D207F4">
        <w:rPr>
          <w:rFonts w:ascii="Arial" w:hAnsi="Arial" w:cs="Arial"/>
          <w:b/>
          <w:bCs/>
          <w:sz w:val="24"/>
          <w:szCs w:val="24"/>
        </w:rPr>
        <w:t xml:space="preserve">Los desafíos organizacionales que supone enfrentar los vicios burocráticos y los disfuncionamientos organizacionales. </w:t>
      </w:r>
    </w:p>
    <w:p w14:paraId="14295BB5" w14:textId="77777777" w:rsidR="00D207F4" w:rsidRDefault="00D207F4" w:rsidP="00D207F4">
      <w:pPr>
        <w:pStyle w:val="Prrafodelista"/>
        <w:jc w:val="both"/>
        <w:rPr>
          <w:rFonts w:ascii="Arial" w:hAnsi="Arial" w:cs="Arial"/>
          <w:sz w:val="24"/>
          <w:szCs w:val="24"/>
        </w:rPr>
      </w:pPr>
    </w:p>
    <w:p w14:paraId="072BD461" w14:textId="77777777" w:rsidR="00D207F4" w:rsidRDefault="00D207F4" w:rsidP="00D207F4">
      <w:pPr>
        <w:pStyle w:val="Prrafodelista"/>
        <w:jc w:val="both"/>
        <w:rPr>
          <w:rFonts w:ascii="Arial" w:hAnsi="Arial" w:cs="Arial"/>
          <w:sz w:val="24"/>
          <w:szCs w:val="24"/>
        </w:rPr>
      </w:pPr>
    </w:p>
    <w:p w14:paraId="15610118" w14:textId="53B5F95A" w:rsidR="00DB2B8B" w:rsidRDefault="00DB2B8B" w:rsidP="00D207F4">
      <w:pPr>
        <w:pStyle w:val="Prrafodelista"/>
        <w:jc w:val="both"/>
        <w:rPr>
          <w:rFonts w:ascii="Arial" w:hAnsi="Arial" w:cs="Arial"/>
          <w:sz w:val="24"/>
          <w:szCs w:val="24"/>
        </w:rPr>
      </w:pPr>
      <w:r>
        <w:rPr>
          <w:rFonts w:ascii="Arial" w:hAnsi="Arial" w:cs="Arial"/>
          <w:sz w:val="24"/>
          <w:szCs w:val="24"/>
        </w:rPr>
        <w:t>El pasado 8 de marzo de 2021, el Consejo Directivo del IPEJAL, design</w:t>
      </w:r>
      <w:r w:rsidR="001C2A90">
        <w:rPr>
          <w:rFonts w:ascii="Arial" w:hAnsi="Arial" w:cs="Arial"/>
          <w:sz w:val="24"/>
          <w:szCs w:val="24"/>
        </w:rPr>
        <w:t>ó</w:t>
      </w:r>
      <w:r>
        <w:rPr>
          <w:rFonts w:ascii="Arial" w:hAnsi="Arial" w:cs="Arial"/>
          <w:sz w:val="24"/>
          <w:szCs w:val="24"/>
        </w:rPr>
        <w:t xml:space="preserve"> al Lic. Héctor Pizano Ramos como Director General del Instituto (DGI). La designación de un nuevo DGI deja incluso el breve mandato transitorio inmediato anterior y expuso una serie de deficiencias administrativas </w:t>
      </w:r>
      <w:r w:rsidR="002D35B5">
        <w:rPr>
          <w:rFonts w:ascii="Arial" w:hAnsi="Arial" w:cs="Arial"/>
          <w:sz w:val="24"/>
          <w:szCs w:val="24"/>
        </w:rPr>
        <w:t xml:space="preserve">que impiden al IPEJAL orientar su acción organizacional a los imperativos que establece el PGI. </w:t>
      </w:r>
    </w:p>
    <w:p w14:paraId="01EF4C2D" w14:textId="77777777" w:rsidR="00DB2B8B" w:rsidRDefault="00DB2B8B" w:rsidP="00D207F4">
      <w:pPr>
        <w:pStyle w:val="Prrafodelista"/>
        <w:jc w:val="both"/>
        <w:rPr>
          <w:rFonts w:ascii="Arial" w:hAnsi="Arial" w:cs="Arial"/>
          <w:sz w:val="24"/>
          <w:szCs w:val="24"/>
        </w:rPr>
      </w:pPr>
    </w:p>
    <w:p w14:paraId="0FA4CEEC" w14:textId="71390E86" w:rsidR="002D35B5" w:rsidRDefault="002D35B5" w:rsidP="00D207F4">
      <w:pPr>
        <w:pStyle w:val="Prrafodelista"/>
        <w:jc w:val="both"/>
        <w:rPr>
          <w:rFonts w:ascii="Arial" w:hAnsi="Arial" w:cs="Arial"/>
          <w:sz w:val="24"/>
          <w:szCs w:val="24"/>
        </w:rPr>
      </w:pPr>
      <w:r>
        <w:rPr>
          <w:rFonts w:ascii="Arial" w:hAnsi="Arial" w:cs="Arial"/>
          <w:sz w:val="24"/>
          <w:szCs w:val="24"/>
        </w:rPr>
        <w:lastRenderedPageBreak/>
        <w:t xml:space="preserve">Consolidar el dispositivo organizacional para articular el esfuerzo de todas las unidades administrativas entorno a los objetivos del PGI es el mayor imperativo organizacional que enfrenta el Instituto, en este semestre. </w:t>
      </w:r>
    </w:p>
    <w:p w14:paraId="34EF2FE7" w14:textId="77777777" w:rsidR="002D35B5" w:rsidRDefault="002D35B5" w:rsidP="00D207F4">
      <w:pPr>
        <w:pStyle w:val="Prrafodelista"/>
        <w:jc w:val="both"/>
        <w:rPr>
          <w:rFonts w:ascii="Arial" w:hAnsi="Arial" w:cs="Arial"/>
          <w:sz w:val="24"/>
          <w:szCs w:val="24"/>
        </w:rPr>
      </w:pPr>
    </w:p>
    <w:p w14:paraId="0D3C3AF7" w14:textId="0CC0E5C0" w:rsidR="00356FF8" w:rsidRDefault="002D35B5" w:rsidP="00D207F4">
      <w:pPr>
        <w:pStyle w:val="Prrafodelista"/>
        <w:jc w:val="both"/>
        <w:rPr>
          <w:rFonts w:ascii="Arial" w:hAnsi="Arial" w:cs="Arial"/>
          <w:sz w:val="24"/>
          <w:szCs w:val="24"/>
        </w:rPr>
      </w:pPr>
      <w:r>
        <w:rPr>
          <w:rFonts w:ascii="Arial" w:hAnsi="Arial" w:cs="Arial"/>
          <w:sz w:val="24"/>
          <w:szCs w:val="24"/>
        </w:rPr>
        <w:t>En efecto, e</w:t>
      </w:r>
      <w:r w:rsidR="00356FF8">
        <w:rPr>
          <w:rFonts w:ascii="Arial" w:hAnsi="Arial" w:cs="Arial"/>
          <w:sz w:val="24"/>
          <w:szCs w:val="24"/>
        </w:rPr>
        <w:t>ntre 20</w:t>
      </w:r>
      <w:r w:rsidR="00D207F4">
        <w:rPr>
          <w:rFonts w:ascii="Arial" w:hAnsi="Arial" w:cs="Arial"/>
          <w:sz w:val="24"/>
          <w:szCs w:val="24"/>
        </w:rPr>
        <w:t>0</w:t>
      </w:r>
      <w:r w:rsidR="00353B83">
        <w:rPr>
          <w:rFonts w:ascii="Arial" w:hAnsi="Arial" w:cs="Arial"/>
          <w:sz w:val="24"/>
          <w:szCs w:val="24"/>
        </w:rPr>
        <w:t>5</w:t>
      </w:r>
      <w:r w:rsidR="00356FF8">
        <w:rPr>
          <w:rFonts w:ascii="Arial" w:hAnsi="Arial" w:cs="Arial"/>
          <w:sz w:val="24"/>
          <w:szCs w:val="24"/>
        </w:rPr>
        <w:t xml:space="preserve"> y el 20</w:t>
      </w:r>
      <w:r>
        <w:rPr>
          <w:rFonts w:ascii="Arial" w:hAnsi="Arial" w:cs="Arial"/>
          <w:sz w:val="24"/>
          <w:szCs w:val="24"/>
        </w:rPr>
        <w:t>2</w:t>
      </w:r>
      <w:r w:rsidR="00D207F4">
        <w:rPr>
          <w:rFonts w:ascii="Arial" w:hAnsi="Arial" w:cs="Arial"/>
          <w:sz w:val="24"/>
          <w:szCs w:val="24"/>
        </w:rPr>
        <w:t>1</w:t>
      </w:r>
      <w:r w:rsidR="00356FF8">
        <w:rPr>
          <w:rFonts w:ascii="Arial" w:hAnsi="Arial" w:cs="Arial"/>
          <w:sz w:val="24"/>
          <w:szCs w:val="24"/>
        </w:rPr>
        <w:t xml:space="preserve">, </w:t>
      </w:r>
      <w:r w:rsidR="00BA76AA">
        <w:rPr>
          <w:rFonts w:ascii="Arial" w:hAnsi="Arial" w:cs="Arial"/>
          <w:sz w:val="24"/>
          <w:szCs w:val="24"/>
        </w:rPr>
        <w:t xml:space="preserve">el </w:t>
      </w:r>
      <w:r w:rsidR="00356FF8">
        <w:rPr>
          <w:rFonts w:ascii="Arial" w:hAnsi="Arial" w:cs="Arial"/>
          <w:sz w:val="24"/>
          <w:szCs w:val="24"/>
        </w:rPr>
        <w:t xml:space="preserve">IPEJAL </w:t>
      </w:r>
      <w:r w:rsidR="00BA76AA">
        <w:rPr>
          <w:rFonts w:ascii="Arial" w:hAnsi="Arial" w:cs="Arial"/>
          <w:sz w:val="24"/>
          <w:szCs w:val="24"/>
        </w:rPr>
        <w:t xml:space="preserve">ha seguido una dinámica propia y </w:t>
      </w:r>
      <w:r w:rsidR="00356FF8">
        <w:rPr>
          <w:rFonts w:ascii="Arial" w:hAnsi="Arial" w:cs="Arial"/>
          <w:sz w:val="24"/>
          <w:szCs w:val="24"/>
        </w:rPr>
        <w:t xml:space="preserve">ha conocido </w:t>
      </w:r>
      <w:r w:rsidR="00D207F4">
        <w:rPr>
          <w:rFonts w:ascii="Arial" w:hAnsi="Arial" w:cs="Arial"/>
          <w:sz w:val="24"/>
          <w:szCs w:val="24"/>
        </w:rPr>
        <w:t xml:space="preserve">tres </w:t>
      </w:r>
      <w:r w:rsidR="00356FF8">
        <w:rPr>
          <w:rFonts w:ascii="Arial" w:hAnsi="Arial" w:cs="Arial"/>
          <w:sz w:val="24"/>
          <w:szCs w:val="24"/>
        </w:rPr>
        <w:t xml:space="preserve">formas organizacionales que administran sus procesos financieros y administrativos, sin que a esta fecha se cuente con un reglamento que de soporte legal a la operación del </w:t>
      </w:r>
      <w:r w:rsidR="00D207F4">
        <w:rPr>
          <w:rFonts w:ascii="Arial" w:hAnsi="Arial" w:cs="Arial"/>
          <w:sz w:val="24"/>
          <w:szCs w:val="24"/>
        </w:rPr>
        <w:t>instituto</w:t>
      </w:r>
      <w:r w:rsidR="00356FF8">
        <w:rPr>
          <w:rFonts w:ascii="Arial" w:hAnsi="Arial" w:cs="Arial"/>
          <w:sz w:val="24"/>
          <w:szCs w:val="24"/>
        </w:rPr>
        <w:t>.</w:t>
      </w:r>
      <w:r w:rsidR="00353B83">
        <w:rPr>
          <w:rFonts w:ascii="Arial" w:hAnsi="Arial" w:cs="Arial"/>
          <w:sz w:val="24"/>
          <w:szCs w:val="24"/>
        </w:rPr>
        <w:t xml:space="preserve"> En 2009, se promulgó la Ley del Instituto de Pensiones del Estado de Jalisco y no obstante los cambios normativos, no se emitió reglamento interno alguno. </w:t>
      </w:r>
      <w:r w:rsidR="00353B83" w:rsidRPr="00353B83">
        <w:rPr>
          <w:rFonts w:ascii="Arial" w:hAnsi="Arial" w:cs="Arial"/>
          <w:sz w:val="24"/>
          <w:szCs w:val="24"/>
        </w:rPr>
        <w:t>La circunstancia es tal que el Instituto utiliza el Reglamento de 200</w:t>
      </w:r>
      <w:r w:rsidR="00353B83">
        <w:rPr>
          <w:rFonts w:ascii="Arial" w:hAnsi="Arial" w:cs="Arial"/>
          <w:sz w:val="24"/>
          <w:szCs w:val="24"/>
        </w:rPr>
        <w:t>5</w:t>
      </w:r>
      <w:r w:rsidR="00353B83" w:rsidRPr="00353B83">
        <w:rPr>
          <w:rFonts w:ascii="Arial" w:hAnsi="Arial" w:cs="Arial"/>
          <w:sz w:val="24"/>
          <w:szCs w:val="24"/>
        </w:rPr>
        <w:t>, el cual sirve de referente para la distribución de sus responsabilidades</w:t>
      </w:r>
      <w:r>
        <w:rPr>
          <w:rFonts w:ascii="Arial" w:hAnsi="Arial" w:cs="Arial"/>
          <w:sz w:val="24"/>
          <w:szCs w:val="24"/>
        </w:rPr>
        <w:t>, pero no sirve como fundamento normativo de su acción porque los cargos señalados no corresponden con los aprobados por el Consejo Directivo, en el presupuesto y la nómina.</w:t>
      </w:r>
    </w:p>
    <w:p w14:paraId="6A595D07" w14:textId="0152BF32" w:rsidR="00356FF8" w:rsidRDefault="00356FF8" w:rsidP="00D207F4">
      <w:pPr>
        <w:pStyle w:val="Prrafodelista"/>
        <w:jc w:val="both"/>
        <w:rPr>
          <w:rFonts w:ascii="Arial" w:hAnsi="Arial" w:cs="Arial"/>
          <w:sz w:val="24"/>
          <w:szCs w:val="24"/>
        </w:rPr>
      </w:pPr>
    </w:p>
    <w:p w14:paraId="5E7D98FC" w14:textId="6ECE07DB" w:rsidR="00356FF8" w:rsidRDefault="00356FF8" w:rsidP="00D207F4">
      <w:pPr>
        <w:pStyle w:val="Prrafodelista"/>
        <w:jc w:val="both"/>
        <w:rPr>
          <w:rFonts w:ascii="Arial" w:hAnsi="Arial" w:cs="Arial"/>
          <w:sz w:val="24"/>
          <w:szCs w:val="24"/>
        </w:rPr>
      </w:pPr>
      <w:r>
        <w:rPr>
          <w:rFonts w:ascii="Arial" w:hAnsi="Arial" w:cs="Arial"/>
          <w:sz w:val="24"/>
          <w:szCs w:val="24"/>
        </w:rPr>
        <w:t xml:space="preserve">La anomia </w:t>
      </w:r>
      <w:r w:rsidR="00E413F9">
        <w:rPr>
          <w:rFonts w:ascii="Arial" w:hAnsi="Arial" w:cs="Arial"/>
          <w:sz w:val="24"/>
          <w:szCs w:val="24"/>
        </w:rPr>
        <w:t xml:space="preserve">que se describe </w:t>
      </w:r>
      <w:r>
        <w:rPr>
          <w:rFonts w:ascii="Arial" w:hAnsi="Arial" w:cs="Arial"/>
          <w:sz w:val="24"/>
          <w:szCs w:val="24"/>
        </w:rPr>
        <w:t>ha gener</w:t>
      </w:r>
      <w:r w:rsidR="00E413F9">
        <w:rPr>
          <w:rFonts w:ascii="Arial" w:hAnsi="Arial" w:cs="Arial"/>
          <w:sz w:val="24"/>
          <w:szCs w:val="24"/>
        </w:rPr>
        <w:t xml:space="preserve">ado </w:t>
      </w:r>
      <w:r>
        <w:rPr>
          <w:rFonts w:ascii="Arial" w:hAnsi="Arial" w:cs="Arial"/>
          <w:sz w:val="24"/>
          <w:szCs w:val="24"/>
        </w:rPr>
        <w:t xml:space="preserve">lagunas </w:t>
      </w:r>
      <w:r w:rsidR="00E413F9">
        <w:rPr>
          <w:rFonts w:ascii="Arial" w:hAnsi="Arial" w:cs="Arial"/>
          <w:sz w:val="24"/>
          <w:szCs w:val="24"/>
        </w:rPr>
        <w:t>que dificultan la operación y se ha impuesto como una barrera a la adecuada gestión del IPEJAL. En efecto, dichas lagunas han favorecido los arreglos informales haciendo complicado la clara determinación de</w:t>
      </w:r>
      <w:r w:rsidR="00CA01E8">
        <w:rPr>
          <w:rFonts w:ascii="Arial" w:hAnsi="Arial" w:cs="Arial"/>
          <w:sz w:val="24"/>
          <w:szCs w:val="24"/>
        </w:rPr>
        <w:t xml:space="preserve"> las atribuciones y actividades entre las unidades administrativas. En temas tan sensibles como la vigencia de derechos, por ejemplo, se tiene que el reconocimiento de la vigencia de derechos no da acceso directo al acceso a servicios médicos para afiliados, pensionados, jubilados y beneficiarios (APJB). Para acceder a los servicios médicos, se requiere otro trámite diferente. Además, las áreas de Prestaciones y Servicios Médicos administran </w:t>
      </w:r>
      <w:r w:rsidR="000C3E51">
        <w:rPr>
          <w:rFonts w:ascii="Arial" w:hAnsi="Arial" w:cs="Arial"/>
          <w:sz w:val="24"/>
          <w:szCs w:val="24"/>
        </w:rPr>
        <w:t xml:space="preserve">padrones de derechohabientes </w:t>
      </w:r>
      <w:r w:rsidR="00CA01E8">
        <w:rPr>
          <w:rFonts w:ascii="Arial" w:hAnsi="Arial" w:cs="Arial"/>
          <w:sz w:val="24"/>
          <w:szCs w:val="24"/>
        </w:rPr>
        <w:t xml:space="preserve">que no coinciden </w:t>
      </w:r>
      <w:r w:rsidR="000C3E51">
        <w:rPr>
          <w:rFonts w:ascii="Arial" w:hAnsi="Arial" w:cs="Arial"/>
          <w:sz w:val="24"/>
          <w:szCs w:val="24"/>
        </w:rPr>
        <w:t xml:space="preserve">entre sí </w:t>
      </w:r>
      <w:r w:rsidR="00CA01E8">
        <w:rPr>
          <w:rFonts w:ascii="Arial" w:hAnsi="Arial" w:cs="Arial"/>
          <w:sz w:val="24"/>
          <w:szCs w:val="24"/>
        </w:rPr>
        <w:t xml:space="preserve">y se deben de conciliar regularmente. Este disfuncionamiento administrativo </w:t>
      </w:r>
      <w:r w:rsidR="000C3E51">
        <w:rPr>
          <w:rFonts w:ascii="Arial" w:hAnsi="Arial" w:cs="Arial"/>
          <w:sz w:val="24"/>
          <w:szCs w:val="24"/>
        </w:rPr>
        <w:t xml:space="preserve">tiene un impacto importante en el acceso o no a los servicios médicos y supone cargas innecesarias para los </w:t>
      </w:r>
      <w:r w:rsidR="00143D67">
        <w:rPr>
          <w:rFonts w:ascii="Arial" w:hAnsi="Arial" w:cs="Arial"/>
          <w:sz w:val="24"/>
          <w:szCs w:val="24"/>
        </w:rPr>
        <w:t xml:space="preserve">APJB. </w:t>
      </w:r>
    </w:p>
    <w:p w14:paraId="71105E7B" w14:textId="1C0593B1" w:rsidR="00143D67" w:rsidRDefault="00143D67" w:rsidP="00D207F4">
      <w:pPr>
        <w:pStyle w:val="Prrafodelista"/>
        <w:jc w:val="both"/>
        <w:rPr>
          <w:rFonts w:ascii="Arial" w:hAnsi="Arial" w:cs="Arial"/>
          <w:sz w:val="24"/>
          <w:szCs w:val="24"/>
        </w:rPr>
      </w:pPr>
    </w:p>
    <w:p w14:paraId="2817C40B" w14:textId="2B0D87BC" w:rsidR="00F81661" w:rsidRDefault="00143D67" w:rsidP="00D207F4">
      <w:pPr>
        <w:pStyle w:val="Prrafodelista"/>
        <w:jc w:val="both"/>
        <w:rPr>
          <w:rFonts w:ascii="Arial" w:hAnsi="Arial" w:cs="Arial"/>
          <w:sz w:val="24"/>
          <w:szCs w:val="24"/>
        </w:rPr>
      </w:pPr>
      <w:r>
        <w:rPr>
          <w:rFonts w:ascii="Arial" w:hAnsi="Arial" w:cs="Arial"/>
          <w:sz w:val="24"/>
          <w:szCs w:val="24"/>
        </w:rPr>
        <w:t>En la organización actual de las jerarquías</w:t>
      </w:r>
      <w:r w:rsidR="00F81661">
        <w:rPr>
          <w:rFonts w:ascii="Arial" w:hAnsi="Arial" w:cs="Arial"/>
          <w:sz w:val="24"/>
          <w:szCs w:val="24"/>
        </w:rPr>
        <w:t xml:space="preserve"> del Instituto, que no están soportadas por ningún instrumento normativo, se distingue un vicio burocrático mayor: todo el equipo directivo de primer nivel tiene el rango de director general, distinguiéndose únicamente por la competencia material de su función. </w:t>
      </w:r>
      <w:r w:rsidR="00190906">
        <w:rPr>
          <w:rFonts w:ascii="Arial" w:hAnsi="Arial" w:cs="Arial"/>
          <w:sz w:val="24"/>
          <w:szCs w:val="24"/>
        </w:rPr>
        <w:t xml:space="preserve">La organización va del </w:t>
      </w:r>
      <w:r w:rsidR="00F81661">
        <w:rPr>
          <w:rFonts w:ascii="Arial" w:hAnsi="Arial" w:cs="Arial"/>
          <w:sz w:val="24"/>
          <w:szCs w:val="24"/>
        </w:rPr>
        <w:t xml:space="preserve">director general del IPEJAL, al </w:t>
      </w:r>
      <w:proofErr w:type="gramStart"/>
      <w:r w:rsidR="00F81661">
        <w:rPr>
          <w:rFonts w:ascii="Arial" w:hAnsi="Arial" w:cs="Arial"/>
          <w:sz w:val="24"/>
          <w:szCs w:val="24"/>
        </w:rPr>
        <w:t>Director General</w:t>
      </w:r>
      <w:proofErr w:type="gramEnd"/>
      <w:r w:rsidR="00F81661">
        <w:rPr>
          <w:rFonts w:ascii="Arial" w:hAnsi="Arial" w:cs="Arial"/>
          <w:sz w:val="24"/>
          <w:szCs w:val="24"/>
        </w:rPr>
        <w:t xml:space="preserve"> Jurídico pasando por la Dirección General de Prestaciones, Director General de Servicios Médicos, Director General de Finanzas, Director General de Administración y Director General de Contraloría. </w:t>
      </w:r>
      <w:r w:rsidR="00190906">
        <w:rPr>
          <w:rFonts w:ascii="Arial" w:hAnsi="Arial" w:cs="Arial"/>
          <w:sz w:val="24"/>
          <w:szCs w:val="24"/>
        </w:rPr>
        <w:t xml:space="preserve">Esta situación organización hace difusa la línea de mando que, asociada a los arreglos </w:t>
      </w:r>
      <w:r w:rsidR="00F81661">
        <w:rPr>
          <w:rFonts w:ascii="Arial" w:hAnsi="Arial" w:cs="Arial"/>
          <w:sz w:val="24"/>
          <w:szCs w:val="24"/>
        </w:rPr>
        <w:t>informales</w:t>
      </w:r>
      <w:r w:rsidR="00190906">
        <w:rPr>
          <w:rFonts w:ascii="Arial" w:hAnsi="Arial" w:cs="Arial"/>
          <w:sz w:val="24"/>
          <w:szCs w:val="24"/>
        </w:rPr>
        <w:t xml:space="preserve"> referidos en el párrafo anterior, </w:t>
      </w:r>
      <w:r w:rsidR="00F81661">
        <w:rPr>
          <w:rFonts w:ascii="Arial" w:hAnsi="Arial" w:cs="Arial"/>
          <w:sz w:val="24"/>
          <w:szCs w:val="24"/>
        </w:rPr>
        <w:t>han llevado los directores generales</w:t>
      </w:r>
      <w:r w:rsidR="00190906">
        <w:rPr>
          <w:rFonts w:ascii="Arial" w:hAnsi="Arial" w:cs="Arial"/>
          <w:sz w:val="24"/>
          <w:szCs w:val="24"/>
        </w:rPr>
        <w:t xml:space="preserve"> </w:t>
      </w:r>
      <w:r w:rsidR="00F81661">
        <w:rPr>
          <w:rFonts w:ascii="Arial" w:hAnsi="Arial" w:cs="Arial"/>
          <w:sz w:val="24"/>
          <w:szCs w:val="24"/>
        </w:rPr>
        <w:t>present</w:t>
      </w:r>
      <w:r w:rsidR="009F561D">
        <w:rPr>
          <w:rFonts w:ascii="Arial" w:hAnsi="Arial" w:cs="Arial"/>
          <w:sz w:val="24"/>
          <w:szCs w:val="24"/>
        </w:rPr>
        <w:t>e</w:t>
      </w:r>
      <w:r w:rsidR="00F81661">
        <w:rPr>
          <w:rFonts w:ascii="Arial" w:hAnsi="Arial" w:cs="Arial"/>
          <w:sz w:val="24"/>
          <w:szCs w:val="24"/>
        </w:rPr>
        <w:t xml:space="preserve">n sus asuntos ante el Consejo Directivo </w:t>
      </w:r>
      <w:r w:rsidR="00190906">
        <w:rPr>
          <w:rFonts w:ascii="Arial" w:hAnsi="Arial" w:cs="Arial"/>
          <w:sz w:val="24"/>
          <w:szCs w:val="24"/>
        </w:rPr>
        <w:t xml:space="preserve">sin </w:t>
      </w:r>
      <w:r w:rsidR="00F81661">
        <w:rPr>
          <w:rFonts w:ascii="Arial" w:hAnsi="Arial" w:cs="Arial"/>
          <w:sz w:val="24"/>
          <w:szCs w:val="24"/>
        </w:rPr>
        <w:t xml:space="preserve">tomar en cuenta a la Dirección General del Instituto que es, no obstante, el titular de </w:t>
      </w:r>
      <w:r w:rsidR="00F81661">
        <w:rPr>
          <w:rFonts w:ascii="Arial" w:hAnsi="Arial" w:cs="Arial"/>
          <w:sz w:val="24"/>
          <w:szCs w:val="24"/>
        </w:rPr>
        <w:lastRenderedPageBreak/>
        <w:t xml:space="preserve">uno de los órganos de gobierno y responsable de la administración del Instituto. </w:t>
      </w:r>
    </w:p>
    <w:p w14:paraId="7AF26106" w14:textId="3F81227C" w:rsidR="009F561D" w:rsidRDefault="009F561D" w:rsidP="00D207F4">
      <w:pPr>
        <w:pStyle w:val="Prrafodelista"/>
        <w:jc w:val="both"/>
        <w:rPr>
          <w:rFonts w:ascii="Arial" w:hAnsi="Arial" w:cs="Arial"/>
          <w:sz w:val="24"/>
          <w:szCs w:val="24"/>
        </w:rPr>
      </w:pPr>
    </w:p>
    <w:p w14:paraId="5814B9E6" w14:textId="15F49C72" w:rsidR="009F561D" w:rsidRDefault="00190906" w:rsidP="00D207F4">
      <w:pPr>
        <w:pStyle w:val="Prrafodelista"/>
        <w:jc w:val="both"/>
        <w:rPr>
          <w:rFonts w:ascii="Arial" w:hAnsi="Arial" w:cs="Arial"/>
          <w:sz w:val="24"/>
          <w:szCs w:val="24"/>
        </w:rPr>
      </w:pPr>
      <w:r>
        <w:rPr>
          <w:rFonts w:ascii="Arial" w:hAnsi="Arial" w:cs="Arial"/>
          <w:sz w:val="24"/>
          <w:szCs w:val="24"/>
        </w:rPr>
        <w:t xml:space="preserve">Otra consecuencia de esta manera de </w:t>
      </w:r>
      <w:r w:rsidR="009F561D">
        <w:rPr>
          <w:rFonts w:ascii="Arial" w:hAnsi="Arial" w:cs="Arial"/>
          <w:sz w:val="24"/>
          <w:szCs w:val="24"/>
        </w:rPr>
        <w:t>entender la organización de las funciones del IPEJAL ha llevado a la construcción de unidades administrativas</w:t>
      </w:r>
      <w:r w:rsidR="00BA76AA">
        <w:rPr>
          <w:rFonts w:ascii="Arial" w:hAnsi="Arial" w:cs="Arial"/>
          <w:sz w:val="24"/>
          <w:szCs w:val="24"/>
        </w:rPr>
        <w:t xml:space="preserve"> que son, </w:t>
      </w:r>
      <w:r>
        <w:rPr>
          <w:rFonts w:ascii="Arial" w:hAnsi="Arial" w:cs="Arial"/>
          <w:sz w:val="24"/>
          <w:szCs w:val="24"/>
        </w:rPr>
        <w:t>a la ve</w:t>
      </w:r>
      <w:r w:rsidR="00BA76AA">
        <w:rPr>
          <w:rFonts w:ascii="Arial" w:hAnsi="Arial" w:cs="Arial"/>
          <w:sz w:val="24"/>
          <w:szCs w:val="24"/>
        </w:rPr>
        <w:t>z,</w:t>
      </w:r>
      <w:r>
        <w:rPr>
          <w:rFonts w:ascii="Arial" w:hAnsi="Arial" w:cs="Arial"/>
          <w:sz w:val="24"/>
          <w:szCs w:val="24"/>
        </w:rPr>
        <w:t xml:space="preserve"> </w:t>
      </w:r>
      <w:r w:rsidR="00BA76AA">
        <w:rPr>
          <w:rFonts w:ascii="Arial" w:hAnsi="Arial" w:cs="Arial"/>
          <w:sz w:val="24"/>
          <w:szCs w:val="24"/>
        </w:rPr>
        <w:t xml:space="preserve">muy </w:t>
      </w:r>
      <w:r>
        <w:rPr>
          <w:rFonts w:ascii="Arial" w:hAnsi="Arial" w:cs="Arial"/>
          <w:sz w:val="24"/>
          <w:szCs w:val="24"/>
        </w:rPr>
        <w:t>autónomas y robustas</w:t>
      </w:r>
      <w:r w:rsidR="00BA76AA">
        <w:rPr>
          <w:rFonts w:ascii="Arial" w:hAnsi="Arial" w:cs="Arial"/>
          <w:sz w:val="24"/>
          <w:szCs w:val="24"/>
        </w:rPr>
        <w:t>,</w:t>
      </w:r>
      <w:r>
        <w:rPr>
          <w:rFonts w:ascii="Arial" w:hAnsi="Arial" w:cs="Arial"/>
          <w:sz w:val="24"/>
          <w:szCs w:val="24"/>
        </w:rPr>
        <w:t xml:space="preserve"> que se coordinan poco entre </w:t>
      </w:r>
      <w:proofErr w:type="spellStart"/>
      <w:r>
        <w:rPr>
          <w:rFonts w:ascii="Arial" w:hAnsi="Arial" w:cs="Arial"/>
          <w:sz w:val="24"/>
          <w:szCs w:val="24"/>
        </w:rPr>
        <w:t>si</w:t>
      </w:r>
      <w:proofErr w:type="spellEnd"/>
      <w:r>
        <w:rPr>
          <w:rFonts w:ascii="Arial" w:hAnsi="Arial" w:cs="Arial"/>
          <w:sz w:val="24"/>
          <w:szCs w:val="24"/>
        </w:rPr>
        <w:t xml:space="preserve"> y que compiten con la autoridad del director general del Instituto</w:t>
      </w:r>
      <w:r w:rsidR="00BA76AA">
        <w:rPr>
          <w:rFonts w:ascii="Arial" w:hAnsi="Arial" w:cs="Arial"/>
          <w:sz w:val="24"/>
          <w:szCs w:val="24"/>
        </w:rPr>
        <w:t>; y este último</w:t>
      </w:r>
      <w:r w:rsidR="00451822">
        <w:rPr>
          <w:rFonts w:ascii="Arial" w:hAnsi="Arial" w:cs="Arial"/>
          <w:sz w:val="24"/>
          <w:szCs w:val="24"/>
        </w:rPr>
        <w:t xml:space="preserve"> cuenta con pocos elementos administrativos para supervisar el desempeño de las otras direcciones generales. </w:t>
      </w:r>
      <w:r>
        <w:rPr>
          <w:rFonts w:ascii="Arial" w:hAnsi="Arial" w:cs="Arial"/>
          <w:sz w:val="24"/>
          <w:szCs w:val="24"/>
        </w:rPr>
        <w:t xml:space="preserve"> </w:t>
      </w:r>
      <w:r w:rsidR="009F561D">
        <w:rPr>
          <w:rFonts w:ascii="Arial" w:hAnsi="Arial" w:cs="Arial"/>
          <w:sz w:val="24"/>
          <w:szCs w:val="24"/>
        </w:rPr>
        <w:t xml:space="preserve"> </w:t>
      </w:r>
    </w:p>
    <w:p w14:paraId="735C07B1" w14:textId="2CA00837" w:rsidR="00190906" w:rsidRDefault="00190906" w:rsidP="00D207F4">
      <w:pPr>
        <w:pStyle w:val="Prrafodelista"/>
        <w:jc w:val="both"/>
        <w:rPr>
          <w:rFonts w:ascii="Arial" w:hAnsi="Arial" w:cs="Arial"/>
          <w:sz w:val="24"/>
          <w:szCs w:val="24"/>
        </w:rPr>
      </w:pPr>
    </w:p>
    <w:p w14:paraId="1267E3A6" w14:textId="09E03348" w:rsidR="00190906" w:rsidRDefault="00190906" w:rsidP="00D207F4">
      <w:pPr>
        <w:pStyle w:val="Prrafodelista"/>
        <w:jc w:val="both"/>
        <w:rPr>
          <w:rFonts w:ascii="Arial" w:hAnsi="Arial" w:cs="Arial"/>
          <w:sz w:val="24"/>
          <w:szCs w:val="24"/>
        </w:rPr>
      </w:pPr>
      <w:r>
        <w:rPr>
          <w:rFonts w:ascii="Arial" w:hAnsi="Arial" w:cs="Arial"/>
          <w:sz w:val="24"/>
          <w:szCs w:val="24"/>
        </w:rPr>
        <w:t>El anteproyecto de reglamento que se propone para su validación quiere conciliar tres exigencias</w:t>
      </w:r>
      <w:r w:rsidR="00353B83">
        <w:rPr>
          <w:rFonts w:ascii="Arial" w:hAnsi="Arial" w:cs="Arial"/>
          <w:sz w:val="24"/>
          <w:szCs w:val="24"/>
        </w:rPr>
        <w:t xml:space="preserve"> para obtener el mismo número de beneficios</w:t>
      </w:r>
      <w:r>
        <w:rPr>
          <w:rFonts w:ascii="Arial" w:hAnsi="Arial" w:cs="Arial"/>
          <w:sz w:val="24"/>
          <w:szCs w:val="24"/>
        </w:rPr>
        <w:t xml:space="preserve">: </w:t>
      </w:r>
      <w:r w:rsidRPr="00D207F4">
        <w:rPr>
          <w:rFonts w:ascii="Arial" w:hAnsi="Arial" w:cs="Arial"/>
          <w:i/>
          <w:iCs/>
          <w:sz w:val="24"/>
          <w:szCs w:val="24"/>
        </w:rPr>
        <w:t>la</w:t>
      </w:r>
      <w:r w:rsidRPr="00D207F4">
        <w:rPr>
          <w:rFonts w:ascii="Arial" w:hAnsi="Arial" w:cs="Arial"/>
          <w:b/>
          <w:bCs/>
          <w:i/>
          <w:iCs/>
          <w:sz w:val="24"/>
          <w:szCs w:val="24"/>
        </w:rPr>
        <w:t xml:space="preserve"> primera</w:t>
      </w:r>
      <w:r w:rsidR="00945703">
        <w:rPr>
          <w:rFonts w:ascii="Arial" w:hAnsi="Arial" w:cs="Arial"/>
          <w:sz w:val="24"/>
          <w:szCs w:val="24"/>
        </w:rPr>
        <w:t xml:space="preserve"> de ellas es la de </w:t>
      </w:r>
      <w:r>
        <w:rPr>
          <w:rFonts w:ascii="Arial" w:hAnsi="Arial" w:cs="Arial"/>
          <w:sz w:val="24"/>
          <w:szCs w:val="24"/>
        </w:rPr>
        <w:t>dar claridad a la línea de mando</w:t>
      </w:r>
      <w:r w:rsidR="00451822">
        <w:rPr>
          <w:rFonts w:ascii="Arial" w:hAnsi="Arial" w:cs="Arial"/>
          <w:sz w:val="24"/>
          <w:szCs w:val="24"/>
        </w:rPr>
        <w:t xml:space="preserve">. </w:t>
      </w:r>
      <w:r w:rsidR="00945703">
        <w:rPr>
          <w:rFonts w:ascii="Arial" w:hAnsi="Arial" w:cs="Arial"/>
          <w:sz w:val="24"/>
          <w:szCs w:val="24"/>
        </w:rPr>
        <w:t>Por esta razón</w:t>
      </w:r>
      <w:r w:rsidR="00451822">
        <w:rPr>
          <w:rFonts w:ascii="Arial" w:hAnsi="Arial" w:cs="Arial"/>
          <w:sz w:val="24"/>
          <w:szCs w:val="24"/>
        </w:rPr>
        <w:t>, se propone un cambio sustantivo</w:t>
      </w:r>
      <w:r w:rsidR="00945703">
        <w:rPr>
          <w:rFonts w:ascii="Arial" w:hAnsi="Arial" w:cs="Arial"/>
          <w:sz w:val="24"/>
          <w:szCs w:val="24"/>
        </w:rPr>
        <w:t xml:space="preserve"> que es pasar </w:t>
      </w:r>
      <w:r w:rsidR="00451822">
        <w:rPr>
          <w:rFonts w:ascii="Arial" w:hAnsi="Arial" w:cs="Arial"/>
          <w:sz w:val="24"/>
          <w:szCs w:val="24"/>
        </w:rPr>
        <w:t>de una organización de direcciones generales, direcciones, jefes de departamento y coordinadores</w:t>
      </w:r>
      <w:r w:rsidR="00945703">
        <w:rPr>
          <w:rFonts w:ascii="Arial" w:hAnsi="Arial" w:cs="Arial"/>
          <w:sz w:val="24"/>
          <w:szCs w:val="24"/>
        </w:rPr>
        <w:t xml:space="preserve">, a una organización de un solo director general del IPEJAL, direcciones (las direcciones generales funcionales pasarán a ser direcciones), jefes de departamento y coordinadores que no sufren modificaciones jerárquicas o funcionales. </w:t>
      </w:r>
    </w:p>
    <w:p w14:paraId="0D5598AC" w14:textId="27CEA839" w:rsidR="00945703" w:rsidRDefault="00945703" w:rsidP="00D207F4">
      <w:pPr>
        <w:pStyle w:val="Prrafodelista"/>
        <w:jc w:val="both"/>
        <w:rPr>
          <w:rFonts w:ascii="Arial" w:hAnsi="Arial" w:cs="Arial"/>
          <w:sz w:val="24"/>
          <w:szCs w:val="24"/>
        </w:rPr>
      </w:pPr>
    </w:p>
    <w:p w14:paraId="719E9F93" w14:textId="008CEE0E" w:rsidR="00945703" w:rsidRDefault="00945703" w:rsidP="00D207F4">
      <w:pPr>
        <w:pStyle w:val="Prrafodelista"/>
        <w:jc w:val="both"/>
        <w:rPr>
          <w:rFonts w:ascii="Arial" w:hAnsi="Arial" w:cs="Arial"/>
          <w:sz w:val="24"/>
          <w:szCs w:val="24"/>
        </w:rPr>
      </w:pPr>
      <w:r>
        <w:rPr>
          <w:rFonts w:ascii="Arial" w:hAnsi="Arial" w:cs="Arial"/>
          <w:sz w:val="24"/>
          <w:szCs w:val="24"/>
        </w:rPr>
        <w:t xml:space="preserve">La </w:t>
      </w:r>
      <w:r w:rsidRPr="00D207F4">
        <w:rPr>
          <w:rFonts w:ascii="Arial" w:hAnsi="Arial" w:cs="Arial"/>
          <w:b/>
          <w:bCs/>
          <w:i/>
          <w:iCs/>
          <w:sz w:val="24"/>
          <w:szCs w:val="24"/>
        </w:rPr>
        <w:t>segunda</w:t>
      </w:r>
      <w:r>
        <w:rPr>
          <w:rFonts w:ascii="Arial" w:hAnsi="Arial" w:cs="Arial"/>
          <w:sz w:val="24"/>
          <w:szCs w:val="24"/>
        </w:rPr>
        <w:t xml:space="preserve"> exigencia es poner al centro de la dinámica organizacional a la dirección general. Por ello, se propone la puesta en marcha de un modelo de gestión que facilita a la dirección general iniciar, controlar y evaluar las acciones de las direcciones bajo su mando, sin restarles autonomía y compartiendo la autoridad. Esto modelo se declina en el anteproyecto de reglamento en los supuestos normativos que se contienen en los artículos </w:t>
      </w:r>
      <w:r w:rsidR="00D207F4">
        <w:rPr>
          <w:rFonts w:ascii="Arial" w:hAnsi="Arial" w:cs="Arial"/>
          <w:sz w:val="24"/>
          <w:szCs w:val="24"/>
        </w:rPr>
        <w:t xml:space="preserve">del 9 al 17, </w:t>
      </w:r>
      <w:r>
        <w:rPr>
          <w:rFonts w:ascii="Arial" w:hAnsi="Arial" w:cs="Arial"/>
          <w:sz w:val="24"/>
          <w:szCs w:val="24"/>
        </w:rPr>
        <w:t>mismos que establecen: “…”</w:t>
      </w:r>
    </w:p>
    <w:p w14:paraId="1A4E7FA5" w14:textId="05003F14" w:rsidR="00945703" w:rsidRDefault="00945703" w:rsidP="00D207F4">
      <w:pPr>
        <w:pStyle w:val="Prrafodelista"/>
        <w:jc w:val="both"/>
        <w:rPr>
          <w:rFonts w:ascii="Arial" w:hAnsi="Arial" w:cs="Arial"/>
          <w:sz w:val="24"/>
          <w:szCs w:val="24"/>
        </w:rPr>
      </w:pPr>
    </w:p>
    <w:p w14:paraId="12E4F666" w14:textId="5964ADC5"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Cs/>
          <w:sz w:val="18"/>
          <w:szCs w:val="18"/>
          <w:lang w:val="es-ES_tradnl"/>
        </w:rPr>
        <w:t>“</w:t>
      </w:r>
      <w:r w:rsidRPr="00D207F4">
        <w:rPr>
          <w:rFonts w:ascii="Arial" w:hAnsi="Arial" w:cs="Arial"/>
          <w:b/>
          <w:sz w:val="18"/>
          <w:szCs w:val="18"/>
          <w:lang w:val="es-ES_tradnl"/>
        </w:rPr>
        <w:t xml:space="preserve">Artículo 9. </w:t>
      </w:r>
      <w:r w:rsidRPr="00D207F4">
        <w:rPr>
          <w:rFonts w:ascii="Arial" w:hAnsi="Arial" w:cs="Arial"/>
          <w:bCs/>
          <w:sz w:val="18"/>
          <w:szCs w:val="18"/>
          <w:lang w:val="es-ES_tradnl"/>
        </w:rPr>
        <w:t xml:space="preserve">La Dirección General del Instituto tiene las </w:t>
      </w:r>
      <w:r w:rsidRPr="00D207F4">
        <w:rPr>
          <w:rFonts w:ascii="Arial" w:hAnsi="Arial" w:cs="Arial"/>
          <w:sz w:val="18"/>
          <w:szCs w:val="18"/>
          <w:lang w:val="es-ES_tradnl"/>
        </w:rPr>
        <w:t xml:space="preserve">facultades establecidas en el artículo 154 de la Ley y las demás que se deriven de la normatividad vigente y aplicable. </w:t>
      </w:r>
    </w:p>
    <w:p w14:paraId="74CD591B" w14:textId="77777777" w:rsidR="00D207F4" w:rsidRPr="00D207F4" w:rsidRDefault="00D207F4" w:rsidP="00D207F4">
      <w:pPr>
        <w:pStyle w:val="Prrafodelista"/>
        <w:jc w:val="both"/>
        <w:rPr>
          <w:rFonts w:ascii="Arial" w:hAnsi="Arial" w:cs="Arial"/>
          <w:sz w:val="18"/>
          <w:szCs w:val="18"/>
          <w:lang w:val="es-ES_tradnl"/>
        </w:rPr>
      </w:pPr>
    </w:p>
    <w:p w14:paraId="04E0478A"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sz w:val="18"/>
          <w:szCs w:val="18"/>
          <w:lang w:val="es-ES_tradnl"/>
        </w:rPr>
        <w:t>El Director General puede delegar cualquiera de sus facultades en otros servidores públicos del Instituto, sin perjuicio de ejercerlas en forma directa, con excepción de aquéllas que por disposición legal expresa o determinación del Consejo Directivo le correspondan exclusivamente, para lo cual podrá emitir acuerdos delegatorios u otorgar poderes generales o especiales.</w:t>
      </w:r>
    </w:p>
    <w:p w14:paraId="2B252DCF" w14:textId="77777777" w:rsidR="00D207F4" w:rsidRPr="00D207F4" w:rsidRDefault="00D207F4" w:rsidP="00D207F4">
      <w:pPr>
        <w:pStyle w:val="Prrafodelista"/>
        <w:jc w:val="both"/>
        <w:rPr>
          <w:rFonts w:ascii="Arial" w:hAnsi="Arial" w:cs="Arial"/>
          <w:b/>
          <w:bCs/>
          <w:sz w:val="18"/>
          <w:szCs w:val="18"/>
          <w:lang w:val="es-ES_tradnl"/>
        </w:rPr>
      </w:pPr>
    </w:p>
    <w:p w14:paraId="4C5B2C46"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
          <w:bCs/>
          <w:sz w:val="18"/>
          <w:szCs w:val="18"/>
          <w:lang w:val="es-ES_tradnl"/>
        </w:rPr>
        <w:t xml:space="preserve">Artículo 10. </w:t>
      </w:r>
      <w:r w:rsidRPr="00D207F4">
        <w:rPr>
          <w:rFonts w:ascii="Arial" w:hAnsi="Arial" w:cs="Arial"/>
          <w:sz w:val="18"/>
          <w:szCs w:val="18"/>
          <w:lang w:val="es-ES_tradnl"/>
        </w:rPr>
        <w:t>En el ejercicio de las atribuciones de la Dirección General y para el despacho de los asuntos de orden jurídico, administrativo, financiero y de servicios encomendados por la Ley al Instituto de Pensiones del Estado de Jalisco, se establecen las siguientes unidades administrativas:</w:t>
      </w:r>
    </w:p>
    <w:p w14:paraId="60BE5D9B" w14:textId="77777777" w:rsidR="00D207F4" w:rsidRPr="00D207F4" w:rsidRDefault="00D207F4" w:rsidP="00D207F4">
      <w:pPr>
        <w:pStyle w:val="Prrafodelista"/>
        <w:jc w:val="both"/>
        <w:rPr>
          <w:rFonts w:ascii="Arial" w:hAnsi="Arial" w:cs="Arial"/>
          <w:sz w:val="18"/>
          <w:szCs w:val="18"/>
          <w:lang w:val="es-ES_tradnl"/>
        </w:rPr>
      </w:pPr>
    </w:p>
    <w:p w14:paraId="0219FDE5" w14:textId="77777777" w:rsidR="00D207F4" w:rsidRPr="00D207F4" w:rsidRDefault="00D207F4" w:rsidP="00D207F4">
      <w:pPr>
        <w:pStyle w:val="Prrafodelista"/>
        <w:numPr>
          <w:ilvl w:val="0"/>
          <w:numId w:val="5"/>
        </w:numPr>
        <w:jc w:val="both"/>
        <w:rPr>
          <w:rFonts w:ascii="Arial" w:hAnsi="Arial" w:cs="Arial"/>
          <w:sz w:val="18"/>
          <w:szCs w:val="18"/>
          <w:lang w:val="es-ES_tradnl"/>
        </w:rPr>
      </w:pPr>
      <w:bookmarkStart w:id="2" w:name="_Hlk74566555"/>
      <w:r w:rsidRPr="00D207F4">
        <w:rPr>
          <w:rFonts w:ascii="Arial" w:hAnsi="Arial" w:cs="Arial"/>
          <w:sz w:val="18"/>
          <w:szCs w:val="18"/>
          <w:lang w:val="es-ES_tradnl"/>
        </w:rPr>
        <w:t>Dirección de Atención a Derechohabientes;</w:t>
      </w:r>
    </w:p>
    <w:p w14:paraId="3A2DF3F6" w14:textId="77777777" w:rsidR="00D207F4" w:rsidRPr="00D207F4" w:rsidRDefault="00D207F4" w:rsidP="00D207F4">
      <w:pPr>
        <w:pStyle w:val="Prrafodelista"/>
        <w:numPr>
          <w:ilvl w:val="0"/>
          <w:numId w:val="5"/>
        </w:numPr>
        <w:jc w:val="both"/>
        <w:rPr>
          <w:rFonts w:ascii="Arial" w:hAnsi="Arial" w:cs="Arial"/>
          <w:sz w:val="18"/>
          <w:szCs w:val="18"/>
          <w:lang w:val="es-ES_tradnl"/>
        </w:rPr>
      </w:pPr>
      <w:r w:rsidRPr="00D207F4">
        <w:rPr>
          <w:rFonts w:ascii="Arial" w:hAnsi="Arial" w:cs="Arial"/>
          <w:sz w:val="18"/>
          <w:szCs w:val="18"/>
          <w:lang w:val="es-ES_tradnl"/>
        </w:rPr>
        <w:t>Dirección de Servicios Médicos;</w:t>
      </w:r>
    </w:p>
    <w:p w14:paraId="0FF4FFEF" w14:textId="77777777" w:rsidR="00D207F4" w:rsidRPr="00D207F4" w:rsidRDefault="00D207F4" w:rsidP="00D207F4">
      <w:pPr>
        <w:pStyle w:val="Prrafodelista"/>
        <w:numPr>
          <w:ilvl w:val="0"/>
          <w:numId w:val="5"/>
        </w:numPr>
        <w:jc w:val="both"/>
        <w:rPr>
          <w:rFonts w:ascii="Arial" w:hAnsi="Arial" w:cs="Arial"/>
          <w:sz w:val="18"/>
          <w:szCs w:val="18"/>
          <w:lang w:val="es-ES_tradnl"/>
        </w:rPr>
      </w:pPr>
      <w:r w:rsidRPr="00D207F4">
        <w:rPr>
          <w:rFonts w:ascii="Arial" w:hAnsi="Arial" w:cs="Arial"/>
          <w:sz w:val="18"/>
          <w:szCs w:val="18"/>
          <w:lang w:val="es-ES_tradnl"/>
        </w:rPr>
        <w:t>Dirección de Gestión y Protección del Patrimonio Inmobiliario;</w:t>
      </w:r>
    </w:p>
    <w:p w14:paraId="450B3CF4" w14:textId="77777777" w:rsidR="00D207F4" w:rsidRPr="00D207F4" w:rsidRDefault="00D207F4" w:rsidP="00D207F4">
      <w:pPr>
        <w:pStyle w:val="Prrafodelista"/>
        <w:numPr>
          <w:ilvl w:val="0"/>
          <w:numId w:val="5"/>
        </w:numPr>
        <w:jc w:val="both"/>
        <w:rPr>
          <w:rFonts w:ascii="Arial" w:hAnsi="Arial" w:cs="Arial"/>
          <w:sz w:val="18"/>
          <w:szCs w:val="18"/>
          <w:lang w:val="es-ES_tradnl"/>
        </w:rPr>
      </w:pPr>
      <w:r w:rsidRPr="00D207F4">
        <w:rPr>
          <w:rFonts w:ascii="Arial" w:hAnsi="Arial" w:cs="Arial"/>
          <w:sz w:val="18"/>
          <w:szCs w:val="18"/>
          <w:lang w:val="es-ES_tradnl"/>
        </w:rPr>
        <w:t>Dirección de Fideicomisos;</w:t>
      </w:r>
    </w:p>
    <w:p w14:paraId="5B2E4145" w14:textId="77777777" w:rsidR="00D207F4" w:rsidRPr="00D207F4" w:rsidRDefault="00D207F4" w:rsidP="00D207F4">
      <w:pPr>
        <w:pStyle w:val="Prrafodelista"/>
        <w:numPr>
          <w:ilvl w:val="0"/>
          <w:numId w:val="5"/>
        </w:numPr>
        <w:jc w:val="both"/>
        <w:rPr>
          <w:rFonts w:ascii="Arial" w:hAnsi="Arial" w:cs="Arial"/>
          <w:sz w:val="18"/>
          <w:szCs w:val="18"/>
          <w:lang w:val="es-ES_tradnl"/>
        </w:rPr>
      </w:pPr>
      <w:r w:rsidRPr="00D207F4">
        <w:rPr>
          <w:rFonts w:ascii="Arial" w:hAnsi="Arial" w:cs="Arial"/>
          <w:sz w:val="18"/>
          <w:szCs w:val="18"/>
          <w:lang w:val="es-ES_tradnl"/>
        </w:rPr>
        <w:t>Dirección de Finanzas;</w:t>
      </w:r>
    </w:p>
    <w:p w14:paraId="188ACBBC" w14:textId="77777777" w:rsidR="00D207F4" w:rsidRPr="00D207F4" w:rsidRDefault="00D207F4" w:rsidP="00D207F4">
      <w:pPr>
        <w:pStyle w:val="Prrafodelista"/>
        <w:numPr>
          <w:ilvl w:val="0"/>
          <w:numId w:val="5"/>
        </w:numPr>
        <w:jc w:val="both"/>
        <w:rPr>
          <w:rFonts w:ascii="Arial" w:hAnsi="Arial" w:cs="Arial"/>
          <w:sz w:val="18"/>
          <w:szCs w:val="18"/>
          <w:lang w:val="es-ES_tradnl"/>
        </w:rPr>
      </w:pPr>
      <w:r w:rsidRPr="00D207F4">
        <w:rPr>
          <w:rFonts w:ascii="Arial" w:hAnsi="Arial" w:cs="Arial"/>
          <w:sz w:val="18"/>
          <w:szCs w:val="18"/>
          <w:lang w:val="es-ES_tradnl"/>
        </w:rPr>
        <w:t>Dirección de Administración;</w:t>
      </w:r>
    </w:p>
    <w:p w14:paraId="1FB6B2B5" w14:textId="77777777" w:rsidR="00D207F4" w:rsidRPr="00D207F4" w:rsidRDefault="00D207F4" w:rsidP="00D207F4">
      <w:pPr>
        <w:pStyle w:val="Prrafodelista"/>
        <w:numPr>
          <w:ilvl w:val="0"/>
          <w:numId w:val="5"/>
        </w:numPr>
        <w:jc w:val="both"/>
        <w:rPr>
          <w:rFonts w:ascii="Arial" w:hAnsi="Arial" w:cs="Arial"/>
          <w:sz w:val="18"/>
          <w:szCs w:val="18"/>
          <w:lang w:val="es-ES_tradnl"/>
        </w:rPr>
      </w:pPr>
      <w:r w:rsidRPr="00D207F4">
        <w:rPr>
          <w:rFonts w:ascii="Arial" w:hAnsi="Arial" w:cs="Arial"/>
          <w:sz w:val="18"/>
          <w:szCs w:val="18"/>
          <w:lang w:val="es-ES_tradnl"/>
        </w:rPr>
        <w:t>Dirección de Informática;</w:t>
      </w:r>
      <w:bookmarkEnd w:id="2"/>
      <w:r w:rsidRPr="00D207F4">
        <w:rPr>
          <w:rFonts w:ascii="Arial" w:hAnsi="Arial" w:cs="Arial"/>
          <w:sz w:val="18"/>
          <w:szCs w:val="18"/>
          <w:lang w:val="es-ES_tradnl"/>
        </w:rPr>
        <w:t xml:space="preserve"> </w:t>
      </w:r>
    </w:p>
    <w:p w14:paraId="3EF28134" w14:textId="77777777" w:rsidR="00D207F4" w:rsidRPr="00D207F4" w:rsidRDefault="00D207F4" w:rsidP="00D207F4">
      <w:pPr>
        <w:pStyle w:val="Prrafodelista"/>
        <w:numPr>
          <w:ilvl w:val="0"/>
          <w:numId w:val="5"/>
        </w:numPr>
        <w:jc w:val="both"/>
        <w:rPr>
          <w:rFonts w:ascii="Arial" w:hAnsi="Arial" w:cs="Arial"/>
          <w:sz w:val="18"/>
          <w:szCs w:val="18"/>
          <w:lang w:val="es-ES_tradnl"/>
        </w:rPr>
      </w:pPr>
      <w:r w:rsidRPr="00D207F4">
        <w:rPr>
          <w:rFonts w:ascii="Arial" w:hAnsi="Arial" w:cs="Arial"/>
          <w:sz w:val="18"/>
          <w:szCs w:val="18"/>
          <w:lang w:val="es-ES_tradnl"/>
        </w:rPr>
        <w:t xml:space="preserve">Abogado general; y, </w:t>
      </w:r>
    </w:p>
    <w:p w14:paraId="78536B40" w14:textId="77777777" w:rsidR="00D207F4" w:rsidRPr="00D207F4" w:rsidRDefault="00D207F4" w:rsidP="00D207F4">
      <w:pPr>
        <w:pStyle w:val="Prrafodelista"/>
        <w:numPr>
          <w:ilvl w:val="0"/>
          <w:numId w:val="5"/>
        </w:numPr>
        <w:jc w:val="both"/>
        <w:rPr>
          <w:rFonts w:ascii="Arial" w:hAnsi="Arial" w:cs="Arial"/>
          <w:sz w:val="18"/>
          <w:szCs w:val="18"/>
          <w:lang w:val="es-ES_tradnl"/>
        </w:rPr>
      </w:pPr>
      <w:r w:rsidRPr="00D207F4">
        <w:rPr>
          <w:rFonts w:ascii="Arial" w:hAnsi="Arial" w:cs="Arial"/>
          <w:sz w:val="18"/>
          <w:szCs w:val="18"/>
          <w:lang w:val="es-ES_tradnl"/>
        </w:rPr>
        <w:lastRenderedPageBreak/>
        <w:t>Órgano Interno de Control.</w:t>
      </w:r>
    </w:p>
    <w:p w14:paraId="33465B68" w14:textId="77777777" w:rsidR="00D207F4" w:rsidRPr="00D207F4" w:rsidRDefault="00D207F4" w:rsidP="00D207F4">
      <w:pPr>
        <w:pStyle w:val="Prrafodelista"/>
        <w:jc w:val="both"/>
        <w:rPr>
          <w:rFonts w:ascii="Arial" w:hAnsi="Arial" w:cs="Arial"/>
          <w:sz w:val="18"/>
          <w:szCs w:val="18"/>
          <w:lang w:val="es-ES_tradnl"/>
        </w:rPr>
      </w:pPr>
    </w:p>
    <w:p w14:paraId="2D2D60A7"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
          <w:bCs/>
          <w:sz w:val="18"/>
          <w:szCs w:val="18"/>
          <w:lang w:val="es-ES_tradnl"/>
        </w:rPr>
        <w:t>Artículo 11.</w:t>
      </w:r>
      <w:r w:rsidRPr="00D207F4">
        <w:rPr>
          <w:rFonts w:ascii="Arial" w:hAnsi="Arial" w:cs="Arial"/>
          <w:sz w:val="18"/>
          <w:szCs w:val="18"/>
          <w:lang w:val="es-ES_tradnl"/>
        </w:rPr>
        <w:t xml:space="preserve"> Las unidades administrativas señaladas en el artículo anterior dependen de la Dirección General, tienen igual rango y entre ellas no hay preminencia alguna. Sin perjuicio de lo anterior, el Director General podrá designar a una o varias de las unidades administrativas según corresponda, para coordinar acciones de la administración, para cumplir con sus acuerdos y/o órdenes.   </w:t>
      </w:r>
    </w:p>
    <w:p w14:paraId="40E19F2A"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sz w:val="18"/>
          <w:szCs w:val="18"/>
          <w:lang w:val="es-ES_tradnl"/>
        </w:rPr>
        <w:tab/>
      </w:r>
    </w:p>
    <w:p w14:paraId="2AA3E673"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
          <w:bCs/>
          <w:sz w:val="18"/>
          <w:szCs w:val="18"/>
          <w:lang w:val="es-ES_tradnl"/>
        </w:rPr>
        <w:t>Artículo 12</w:t>
      </w:r>
      <w:r w:rsidRPr="00D207F4">
        <w:rPr>
          <w:rFonts w:ascii="Arial" w:hAnsi="Arial" w:cs="Arial"/>
          <w:sz w:val="18"/>
          <w:szCs w:val="18"/>
          <w:lang w:val="es-ES_tradnl"/>
        </w:rPr>
        <w:t>. El Director General podrá convocar, directamente o a través del Director de Administración, a reuniones de trabajo con el Abogado General, los Directores y el titular del Órgano Interno de Control, en su conjunto o con los que determine, a fin de definir o evaluar el desempeño las unidades administrativas, los planes, programas y servicios del Instituto o cualquier otro asunto prioritario de su administración; cuando las circunstancias políticas, administrativas o estratégicas del Instituto lo ameriten; o para atender asuntos que sean de la competencia concurrente de varias unidades administrativas. Estas reuniones serán presididas por el Director General o, si éste así lo determina, por el Director de Administración.</w:t>
      </w:r>
    </w:p>
    <w:p w14:paraId="6CCC9B99" w14:textId="77777777" w:rsidR="00D207F4" w:rsidRPr="00D207F4" w:rsidRDefault="00D207F4" w:rsidP="00D207F4">
      <w:pPr>
        <w:pStyle w:val="Prrafodelista"/>
        <w:jc w:val="both"/>
        <w:rPr>
          <w:rFonts w:ascii="Arial" w:hAnsi="Arial" w:cs="Arial"/>
          <w:sz w:val="18"/>
          <w:szCs w:val="18"/>
          <w:lang w:val="es-ES_tradnl"/>
        </w:rPr>
      </w:pPr>
    </w:p>
    <w:p w14:paraId="007A23EA"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sz w:val="18"/>
          <w:szCs w:val="18"/>
          <w:lang w:val="es-ES_tradnl"/>
        </w:rPr>
        <w:t xml:space="preserve">A las reuniones de trabajo referidas en este artículo podrán asistir los invitados que autorice el Director General. </w:t>
      </w:r>
    </w:p>
    <w:p w14:paraId="68C067B3" w14:textId="77777777" w:rsidR="00D207F4" w:rsidRPr="00D207F4" w:rsidRDefault="00D207F4" w:rsidP="00D207F4">
      <w:pPr>
        <w:pStyle w:val="Prrafodelista"/>
        <w:jc w:val="both"/>
        <w:rPr>
          <w:rFonts w:ascii="Arial" w:hAnsi="Arial" w:cs="Arial"/>
          <w:sz w:val="18"/>
          <w:szCs w:val="18"/>
          <w:lang w:val="es-ES_tradnl"/>
        </w:rPr>
      </w:pPr>
    </w:p>
    <w:p w14:paraId="385737DD"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
          <w:bCs/>
          <w:sz w:val="18"/>
          <w:szCs w:val="18"/>
          <w:lang w:val="es-ES_tradnl"/>
        </w:rPr>
        <w:t>Artículo 13.</w:t>
      </w:r>
      <w:r w:rsidRPr="00D207F4">
        <w:rPr>
          <w:rFonts w:ascii="Arial" w:hAnsi="Arial" w:cs="Arial"/>
          <w:sz w:val="18"/>
          <w:szCs w:val="18"/>
          <w:lang w:val="es-ES_tradnl"/>
        </w:rPr>
        <w:t xml:space="preserve"> Las unidades administrativas conducirán sus actividades en forma programada, con base en las políticas que, para el logro de los objetivos y prioridades del Plan Estatal de Desarrollo, los planes sectoriales, así como con el Plan Institucional, que establezca el Instituto a través de sus órganos de gobierno. </w:t>
      </w:r>
    </w:p>
    <w:p w14:paraId="0506E591" w14:textId="77777777" w:rsidR="00D207F4" w:rsidRPr="00D207F4" w:rsidRDefault="00D207F4" w:rsidP="00D207F4">
      <w:pPr>
        <w:pStyle w:val="Prrafodelista"/>
        <w:jc w:val="both"/>
        <w:rPr>
          <w:rFonts w:ascii="Arial" w:hAnsi="Arial" w:cs="Arial"/>
          <w:sz w:val="18"/>
          <w:szCs w:val="18"/>
          <w:lang w:val="es-ES_tradnl"/>
        </w:rPr>
      </w:pPr>
    </w:p>
    <w:p w14:paraId="74A19BB4"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
          <w:bCs/>
          <w:sz w:val="18"/>
          <w:szCs w:val="18"/>
          <w:lang w:val="es-ES_tradnl"/>
        </w:rPr>
        <w:t>Artículo 14.</w:t>
      </w:r>
      <w:r w:rsidRPr="00D207F4">
        <w:rPr>
          <w:rFonts w:ascii="Arial" w:hAnsi="Arial" w:cs="Arial"/>
          <w:sz w:val="18"/>
          <w:szCs w:val="18"/>
          <w:lang w:val="es-ES_tradnl"/>
        </w:rPr>
        <w:t xml:space="preserve"> Las y los titulares de las unidades administrativas ejercerán las funciones, atribuciones y facultades por acuerdo del Director General y con arreglo al presente reglamento.</w:t>
      </w:r>
    </w:p>
    <w:p w14:paraId="76DF32C9" w14:textId="77777777" w:rsidR="00D207F4" w:rsidRPr="00D207F4" w:rsidRDefault="00D207F4" w:rsidP="00D207F4">
      <w:pPr>
        <w:pStyle w:val="Prrafodelista"/>
        <w:jc w:val="both"/>
        <w:rPr>
          <w:rFonts w:ascii="Arial" w:hAnsi="Arial" w:cs="Arial"/>
          <w:sz w:val="18"/>
          <w:szCs w:val="18"/>
          <w:lang w:val="es-ES_tradnl"/>
        </w:rPr>
      </w:pPr>
    </w:p>
    <w:p w14:paraId="6BAC4686"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
          <w:bCs/>
          <w:sz w:val="18"/>
          <w:szCs w:val="18"/>
          <w:lang w:val="es-ES_tradnl"/>
        </w:rPr>
        <w:t xml:space="preserve">Artículo 15. </w:t>
      </w:r>
      <w:r w:rsidRPr="00D207F4">
        <w:rPr>
          <w:rFonts w:ascii="Arial" w:hAnsi="Arial" w:cs="Arial"/>
          <w:sz w:val="18"/>
          <w:szCs w:val="18"/>
          <w:lang w:val="es-ES_tradnl"/>
        </w:rPr>
        <w:t>Cada unidad administrativa formulará, respecto de los asuntos de su competencia, los proyectos de instrumentos normativos, administrativos, acuerdos y órdenes de la Dirección General.</w:t>
      </w:r>
    </w:p>
    <w:p w14:paraId="4B1A661C" w14:textId="77777777" w:rsidR="00D207F4" w:rsidRPr="00D207F4" w:rsidRDefault="00D207F4" w:rsidP="00D207F4">
      <w:pPr>
        <w:pStyle w:val="Prrafodelista"/>
        <w:jc w:val="both"/>
        <w:rPr>
          <w:rFonts w:ascii="Arial" w:hAnsi="Arial" w:cs="Arial"/>
          <w:sz w:val="18"/>
          <w:szCs w:val="18"/>
          <w:lang w:val="es-ES_tradnl"/>
        </w:rPr>
      </w:pPr>
    </w:p>
    <w:p w14:paraId="4ECC1B82"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
          <w:bCs/>
          <w:sz w:val="18"/>
          <w:szCs w:val="18"/>
          <w:lang w:val="es-ES_tradnl"/>
        </w:rPr>
        <w:t>Artículo 16.</w:t>
      </w:r>
      <w:r w:rsidRPr="00D207F4">
        <w:rPr>
          <w:rFonts w:ascii="Arial" w:hAnsi="Arial" w:cs="Arial"/>
          <w:sz w:val="18"/>
          <w:szCs w:val="18"/>
          <w:lang w:val="es-ES_tradnl"/>
        </w:rPr>
        <w:t xml:space="preserve"> Los instrumentos normativos, administrativos, acuerdos y órdenes expedidos por el </w:t>
      </w:r>
      <w:proofErr w:type="gramStart"/>
      <w:r w:rsidRPr="00D207F4">
        <w:rPr>
          <w:rFonts w:ascii="Arial" w:hAnsi="Arial" w:cs="Arial"/>
          <w:sz w:val="18"/>
          <w:szCs w:val="18"/>
          <w:lang w:val="es-ES_tradnl"/>
        </w:rPr>
        <w:t>Director General</w:t>
      </w:r>
      <w:proofErr w:type="gramEnd"/>
      <w:r w:rsidRPr="00D207F4">
        <w:rPr>
          <w:rFonts w:ascii="Arial" w:hAnsi="Arial" w:cs="Arial"/>
          <w:sz w:val="18"/>
          <w:szCs w:val="18"/>
          <w:lang w:val="es-ES_tradnl"/>
        </w:rPr>
        <w:t xml:space="preserve"> deberán, para su validez y obligatoriedad, ir firmados por el titular de la unidad administrativa respectiva y, cuando se refieran a asuntos de la competencia de dos o más unidades administrativas, deberán ser refrendados por todos los titulares de las mismas.</w:t>
      </w:r>
    </w:p>
    <w:p w14:paraId="0748342E" w14:textId="77777777" w:rsidR="00D207F4" w:rsidRPr="00D207F4" w:rsidRDefault="00D207F4" w:rsidP="00D207F4">
      <w:pPr>
        <w:pStyle w:val="Prrafodelista"/>
        <w:jc w:val="both"/>
        <w:rPr>
          <w:rFonts w:ascii="Arial" w:hAnsi="Arial" w:cs="Arial"/>
          <w:b/>
          <w:bCs/>
          <w:sz w:val="18"/>
          <w:szCs w:val="18"/>
          <w:lang w:val="es-ES_tradnl"/>
        </w:rPr>
      </w:pPr>
    </w:p>
    <w:p w14:paraId="7806760A" w14:textId="77777777"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b/>
          <w:bCs/>
          <w:sz w:val="18"/>
          <w:szCs w:val="18"/>
          <w:lang w:val="es-ES_tradnl"/>
        </w:rPr>
        <w:t xml:space="preserve">Artículo 17. </w:t>
      </w:r>
      <w:r w:rsidRPr="00D207F4">
        <w:rPr>
          <w:rFonts w:ascii="Arial" w:hAnsi="Arial" w:cs="Arial"/>
          <w:sz w:val="18"/>
          <w:szCs w:val="18"/>
          <w:lang w:val="es-ES_tradnl"/>
        </w:rPr>
        <w:t>Al frente de cada una de las unidades administrativas habrá un titular que se denominará, según corresponda, Titular del OIC, Abogado General y/o director para el caso de las direcciones. Para el despacho de los asuntos de su competencia, los titulares de las unidades administrativas se apoyarán de gerencias, jefaturas de departamento y coordinaciones, así como de los demás servidores públicos que les estén adscritos, conforme a la naturaleza del encargo y de la disponibilidad presupuestal.</w:t>
      </w:r>
    </w:p>
    <w:p w14:paraId="2AEB59B7" w14:textId="77777777" w:rsidR="00D207F4" w:rsidRPr="00D207F4" w:rsidRDefault="00D207F4" w:rsidP="00D207F4">
      <w:pPr>
        <w:pStyle w:val="Prrafodelista"/>
        <w:jc w:val="both"/>
        <w:rPr>
          <w:rFonts w:ascii="Arial" w:hAnsi="Arial" w:cs="Arial"/>
          <w:sz w:val="18"/>
          <w:szCs w:val="18"/>
          <w:lang w:val="es-ES_tradnl"/>
        </w:rPr>
      </w:pPr>
    </w:p>
    <w:p w14:paraId="21DD9387" w14:textId="03974EFF" w:rsidR="00D207F4" w:rsidRPr="00D207F4" w:rsidRDefault="00D207F4" w:rsidP="00D207F4">
      <w:pPr>
        <w:pStyle w:val="Prrafodelista"/>
        <w:jc w:val="both"/>
        <w:rPr>
          <w:rFonts w:ascii="Arial" w:hAnsi="Arial" w:cs="Arial"/>
          <w:sz w:val="18"/>
          <w:szCs w:val="18"/>
          <w:lang w:val="es-ES_tradnl"/>
        </w:rPr>
      </w:pPr>
      <w:r w:rsidRPr="00D207F4">
        <w:rPr>
          <w:rFonts w:ascii="Arial" w:hAnsi="Arial" w:cs="Arial"/>
          <w:sz w:val="18"/>
          <w:szCs w:val="18"/>
          <w:lang w:val="es-ES_tradnl"/>
        </w:rPr>
        <w:t>Con excepción del Titular del Órgano Interno de Control y en los términos de ley, el Director General podrá designar y remover al titular o la titular de cada una de las unidades administrativas y cualquier otro servidor público bajo su mando directo o indirecto.</w:t>
      </w:r>
      <w:r>
        <w:rPr>
          <w:rFonts w:ascii="Arial" w:hAnsi="Arial" w:cs="Arial"/>
          <w:sz w:val="18"/>
          <w:szCs w:val="18"/>
          <w:lang w:val="es-ES_tradnl"/>
        </w:rPr>
        <w:t>”</w:t>
      </w:r>
    </w:p>
    <w:p w14:paraId="5611B2D5" w14:textId="77777777" w:rsidR="00D207F4" w:rsidRDefault="00D207F4" w:rsidP="00D207F4">
      <w:pPr>
        <w:pStyle w:val="Prrafodelista"/>
        <w:jc w:val="both"/>
        <w:rPr>
          <w:rFonts w:ascii="Arial" w:hAnsi="Arial" w:cs="Arial"/>
          <w:sz w:val="24"/>
          <w:szCs w:val="24"/>
        </w:rPr>
      </w:pPr>
    </w:p>
    <w:p w14:paraId="27E3AFE5" w14:textId="7E817B6A" w:rsidR="00945703" w:rsidRDefault="00945703" w:rsidP="00D207F4">
      <w:pPr>
        <w:pStyle w:val="Prrafodelista"/>
        <w:jc w:val="both"/>
        <w:rPr>
          <w:rFonts w:ascii="Arial" w:hAnsi="Arial" w:cs="Arial"/>
          <w:sz w:val="24"/>
          <w:szCs w:val="24"/>
        </w:rPr>
      </w:pPr>
      <w:r>
        <w:rPr>
          <w:rFonts w:ascii="Arial" w:hAnsi="Arial" w:cs="Arial"/>
          <w:sz w:val="24"/>
          <w:szCs w:val="24"/>
        </w:rPr>
        <w:t>En otro orden de ideas, las áreas de transparencia, archivo</w:t>
      </w:r>
      <w:r w:rsidR="002D35B5">
        <w:rPr>
          <w:rFonts w:ascii="Arial" w:hAnsi="Arial" w:cs="Arial"/>
          <w:sz w:val="24"/>
          <w:szCs w:val="24"/>
        </w:rPr>
        <w:t>s</w:t>
      </w:r>
      <w:r>
        <w:rPr>
          <w:rFonts w:ascii="Arial" w:hAnsi="Arial" w:cs="Arial"/>
          <w:sz w:val="24"/>
          <w:szCs w:val="24"/>
        </w:rPr>
        <w:t xml:space="preserve"> se adscriben a la dirección general para que adquieran el peso político y la autoridad necesaria para que sus directivas sean debidamente atendidas como prioridades por las unidades administrativas del IPEJAL. </w:t>
      </w:r>
      <w:r w:rsidR="005F52BF">
        <w:rPr>
          <w:rFonts w:ascii="Arial" w:hAnsi="Arial" w:cs="Arial"/>
          <w:sz w:val="24"/>
          <w:szCs w:val="24"/>
        </w:rPr>
        <w:t xml:space="preserve">Asimismo, y por razones análogas, se da existencia a la unidad de derechos humanos e igualdad de género adscrita a la dirección general. Con ella se debe garantizar que las estrategias, políticas y criterios de organización y operación de los servicios del IPEJAL no atenten contra los derechos </w:t>
      </w:r>
      <w:r w:rsidR="005F52BF">
        <w:rPr>
          <w:rFonts w:ascii="Arial" w:hAnsi="Arial" w:cs="Arial"/>
          <w:sz w:val="24"/>
          <w:szCs w:val="24"/>
        </w:rPr>
        <w:lastRenderedPageBreak/>
        <w:t xml:space="preserve">humanos de los derechohabientes ni de los servidores públicos del Instituto. Se fortalece el rol del consejero jurídico de la dirección general, asociando a su rol tradicional de revisión de los actos de la dirección, el de titular de la unidad de transparencia y secretario de actas del Consejo Directivo.  Por último, se reduce el alcance y atribuciones de la actual Coordinación General que está adscrita a la Dirección General, para quedar en una coordinación de Proyectos Especiales con una plantilla mínima, para estudiar y gestionar las iniciativas que puedan tener un carácter estratégico y un impacto estructural para el Instituto. </w:t>
      </w:r>
    </w:p>
    <w:p w14:paraId="71EF7F99" w14:textId="62EF833F" w:rsidR="00945703" w:rsidRDefault="00945703" w:rsidP="00D207F4">
      <w:pPr>
        <w:pStyle w:val="Prrafodelista"/>
        <w:jc w:val="both"/>
        <w:rPr>
          <w:rFonts w:ascii="Arial" w:hAnsi="Arial" w:cs="Arial"/>
          <w:sz w:val="24"/>
          <w:szCs w:val="24"/>
        </w:rPr>
      </w:pPr>
    </w:p>
    <w:p w14:paraId="198B0060" w14:textId="64227AF5" w:rsidR="005F52BF" w:rsidRDefault="005F52BF" w:rsidP="00D207F4">
      <w:pPr>
        <w:pStyle w:val="Prrafodelista"/>
        <w:jc w:val="both"/>
        <w:rPr>
          <w:rFonts w:ascii="Arial" w:hAnsi="Arial" w:cs="Arial"/>
          <w:sz w:val="24"/>
          <w:szCs w:val="24"/>
        </w:rPr>
      </w:pPr>
      <w:r>
        <w:rPr>
          <w:rFonts w:ascii="Arial" w:hAnsi="Arial" w:cs="Arial"/>
          <w:sz w:val="24"/>
          <w:szCs w:val="24"/>
        </w:rPr>
        <w:t>La tercera exigencia es la de fortalecer el control</w:t>
      </w:r>
      <w:r w:rsidR="00BA76AA">
        <w:rPr>
          <w:rFonts w:ascii="Arial" w:hAnsi="Arial" w:cs="Arial"/>
          <w:sz w:val="24"/>
          <w:szCs w:val="24"/>
        </w:rPr>
        <w:t xml:space="preserve"> y la autonomía</w:t>
      </w:r>
      <w:r>
        <w:rPr>
          <w:rFonts w:ascii="Arial" w:hAnsi="Arial" w:cs="Arial"/>
          <w:sz w:val="24"/>
          <w:szCs w:val="24"/>
        </w:rPr>
        <w:t xml:space="preserve"> del Órgano Interno de Control del Instituto</w:t>
      </w:r>
      <w:r w:rsidR="00BA76AA">
        <w:rPr>
          <w:rFonts w:ascii="Arial" w:hAnsi="Arial" w:cs="Arial"/>
          <w:sz w:val="24"/>
          <w:szCs w:val="24"/>
        </w:rPr>
        <w:t>. Por esta razón, se da existencia normativa a través de parámetros de intervención bastante amplios, sin establecer atribuciones que puedan plantearse en algún momento como limitaciones para su conocer de los asuntos que pudieran resultar de su competencia.</w:t>
      </w:r>
    </w:p>
    <w:p w14:paraId="1CFF9C49" w14:textId="73504E2C" w:rsidR="00143D67" w:rsidRDefault="00143D67" w:rsidP="00D207F4">
      <w:pPr>
        <w:pStyle w:val="Prrafodelista"/>
        <w:jc w:val="both"/>
        <w:rPr>
          <w:rFonts w:ascii="Arial" w:hAnsi="Arial" w:cs="Arial"/>
          <w:sz w:val="24"/>
          <w:szCs w:val="24"/>
        </w:rPr>
      </w:pPr>
    </w:p>
    <w:p w14:paraId="731C1F48" w14:textId="5BB12923" w:rsidR="00356FF8" w:rsidRDefault="00BA76AA" w:rsidP="00D207F4">
      <w:pPr>
        <w:pStyle w:val="Prrafodelista"/>
        <w:jc w:val="both"/>
        <w:rPr>
          <w:rFonts w:ascii="Arial" w:hAnsi="Arial" w:cs="Arial"/>
          <w:sz w:val="24"/>
          <w:szCs w:val="24"/>
        </w:rPr>
      </w:pPr>
      <w:r>
        <w:rPr>
          <w:rFonts w:ascii="Arial" w:hAnsi="Arial" w:cs="Arial"/>
          <w:sz w:val="24"/>
          <w:szCs w:val="24"/>
        </w:rPr>
        <w:t xml:space="preserve">Por otro lado, el anteproyecto de reglamento que se pone a consideración propone otros cambios organizativos importantes que tiene por objetivo mejorar la coordinación, el control y el pilotaje de sus acciones. Entre estos cambios destacan los siguientes: </w:t>
      </w:r>
    </w:p>
    <w:p w14:paraId="36841229" w14:textId="03B97EB2" w:rsidR="00BA76AA" w:rsidRDefault="00BA76AA" w:rsidP="00D207F4">
      <w:pPr>
        <w:pStyle w:val="Prrafodelista"/>
        <w:jc w:val="both"/>
        <w:rPr>
          <w:rFonts w:ascii="Arial" w:hAnsi="Arial" w:cs="Arial"/>
          <w:sz w:val="24"/>
          <w:szCs w:val="24"/>
        </w:rPr>
      </w:pPr>
    </w:p>
    <w:p w14:paraId="4C48DEE0" w14:textId="676E539D" w:rsidR="00BA76AA" w:rsidRDefault="00BA76AA" w:rsidP="00D207F4">
      <w:pPr>
        <w:pStyle w:val="Prrafodelista"/>
        <w:numPr>
          <w:ilvl w:val="0"/>
          <w:numId w:val="2"/>
        </w:numPr>
        <w:jc w:val="both"/>
        <w:rPr>
          <w:rFonts w:ascii="Arial" w:hAnsi="Arial" w:cs="Arial"/>
          <w:sz w:val="24"/>
          <w:szCs w:val="24"/>
        </w:rPr>
      </w:pPr>
      <w:r>
        <w:rPr>
          <w:rFonts w:ascii="Arial" w:hAnsi="Arial" w:cs="Arial"/>
          <w:sz w:val="24"/>
          <w:szCs w:val="24"/>
        </w:rPr>
        <w:t xml:space="preserve">La Dirección General de Promoción Inmobiliaria se convierte en Dirección y se concentra en la protección y la gestión del patrimonio inmobiliario del instituto. Su función principal se concentra en administrar las propiedades del IPEJAL, asegurando la posesión y la propiedad de los inmuebles, su adecuada gestión para asegurar las plusvalías y la adecuada valuación de </w:t>
      </w:r>
      <w:proofErr w:type="gramStart"/>
      <w:r>
        <w:rPr>
          <w:rFonts w:ascii="Arial" w:hAnsi="Arial" w:cs="Arial"/>
          <w:sz w:val="24"/>
          <w:szCs w:val="24"/>
        </w:rPr>
        <w:t>los mismos</w:t>
      </w:r>
      <w:proofErr w:type="gramEnd"/>
      <w:r>
        <w:rPr>
          <w:rFonts w:ascii="Arial" w:hAnsi="Arial" w:cs="Arial"/>
          <w:sz w:val="24"/>
          <w:szCs w:val="24"/>
        </w:rPr>
        <w:t xml:space="preserve">, así como el arrendamiento de casas y departamentos. Atendiendo a esta reorientación, la actual Dirección de Mantenimiento se adscribirá a la Dirección de Administración. Igualmente, la Dirección de Fideicomisos sube de nivel jerárquico para depender directamente de la dirección General del Instituto. </w:t>
      </w:r>
    </w:p>
    <w:p w14:paraId="0E8A8F98" w14:textId="77777777" w:rsidR="00BA76AA" w:rsidRPr="00BA76AA" w:rsidRDefault="00BA76AA" w:rsidP="00D207F4">
      <w:pPr>
        <w:pStyle w:val="Prrafodelista"/>
        <w:ind w:left="1080"/>
        <w:jc w:val="both"/>
        <w:rPr>
          <w:rFonts w:ascii="Arial" w:hAnsi="Arial" w:cs="Arial"/>
          <w:sz w:val="24"/>
          <w:szCs w:val="24"/>
        </w:rPr>
      </w:pPr>
    </w:p>
    <w:p w14:paraId="13EC6709" w14:textId="4BE2876A" w:rsidR="00BA76AA" w:rsidRDefault="00BA76AA" w:rsidP="00D207F4">
      <w:pPr>
        <w:pStyle w:val="Prrafodelista"/>
        <w:numPr>
          <w:ilvl w:val="0"/>
          <w:numId w:val="2"/>
        </w:numPr>
        <w:jc w:val="both"/>
        <w:rPr>
          <w:rFonts w:ascii="Arial" w:hAnsi="Arial" w:cs="Arial"/>
          <w:sz w:val="24"/>
          <w:szCs w:val="24"/>
        </w:rPr>
      </w:pPr>
      <w:r>
        <w:rPr>
          <w:rFonts w:ascii="Arial" w:hAnsi="Arial" w:cs="Arial"/>
          <w:sz w:val="24"/>
          <w:szCs w:val="24"/>
        </w:rPr>
        <w:t xml:space="preserve">La creación de la Dirección de Fideicomisos. La Dirección de Fideicomisos existe actualmente en la Dirección General de Promoción Inmobiliaria. En el anteproyecto de reglamento se propone su elevación de rango al de unidad administrativa dependiente de la dirección General del Instituto. Esto sucede así porque el IPEJAL tiene invertidos más de 2 mil millones de pesos en diversos fideicomisos y haber considerado la gestión de fideicomisos como una actividad secundaria dentro de la Dirección General de Promoción Inmobiliaria y como residual en sus operaciones, ha derivado en falta de control y pilotaje de los fideicomisos que han resultado en pérdidas en inversiones, diluciones de la </w:t>
      </w:r>
      <w:r>
        <w:rPr>
          <w:rFonts w:ascii="Arial" w:hAnsi="Arial" w:cs="Arial"/>
          <w:sz w:val="24"/>
          <w:szCs w:val="24"/>
        </w:rPr>
        <w:lastRenderedPageBreak/>
        <w:t xml:space="preserve">participación del IPEJAL en sociedades que se pueden elevar a los 600 millones de pesos en x años. </w:t>
      </w:r>
    </w:p>
    <w:p w14:paraId="20AC36D2" w14:textId="77777777" w:rsidR="00BA76AA" w:rsidRPr="00BA76AA" w:rsidRDefault="00BA76AA" w:rsidP="00D207F4">
      <w:pPr>
        <w:pStyle w:val="Prrafodelista"/>
        <w:jc w:val="both"/>
        <w:rPr>
          <w:rFonts w:ascii="Arial" w:hAnsi="Arial" w:cs="Arial"/>
          <w:sz w:val="24"/>
          <w:szCs w:val="24"/>
        </w:rPr>
      </w:pPr>
    </w:p>
    <w:p w14:paraId="0612F777" w14:textId="17CFF1DE" w:rsidR="00BA76AA" w:rsidRDefault="00BA76AA" w:rsidP="00D207F4">
      <w:pPr>
        <w:pStyle w:val="Prrafodelista"/>
        <w:numPr>
          <w:ilvl w:val="0"/>
          <w:numId w:val="2"/>
        </w:numPr>
        <w:jc w:val="both"/>
        <w:rPr>
          <w:rFonts w:ascii="Arial" w:hAnsi="Arial" w:cs="Arial"/>
          <w:sz w:val="24"/>
          <w:szCs w:val="24"/>
        </w:rPr>
      </w:pPr>
      <w:r>
        <w:rPr>
          <w:rFonts w:ascii="Arial" w:hAnsi="Arial" w:cs="Arial"/>
          <w:sz w:val="24"/>
          <w:szCs w:val="24"/>
        </w:rPr>
        <w:t xml:space="preserve">Se compacta la actual Dirección General de Finanzas, que a la postre será la Dirección de Finanzas, al reducirse suprimirse la Dirección de Estudios Económicos, Actuariales y de Presupuesto y concentrar sus funciones en lo que será la Gerencia de Contabilidad y Presupuesto. </w:t>
      </w:r>
    </w:p>
    <w:p w14:paraId="5701C90D" w14:textId="77777777" w:rsidR="00BA76AA" w:rsidRPr="00BA76AA" w:rsidRDefault="00BA76AA" w:rsidP="00D207F4">
      <w:pPr>
        <w:pStyle w:val="Prrafodelista"/>
        <w:jc w:val="both"/>
        <w:rPr>
          <w:rFonts w:ascii="Arial" w:hAnsi="Arial" w:cs="Arial"/>
          <w:sz w:val="24"/>
          <w:szCs w:val="24"/>
        </w:rPr>
      </w:pPr>
    </w:p>
    <w:p w14:paraId="1F7E9AB5" w14:textId="0EE2EE89" w:rsidR="00BA76AA" w:rsidRDefault="00BA76AA" w:rsidP="00D207F4">
      <w:pPr>
        <w:pStyle w:val="Prrafodelista"/>
        <w:numPr>
          <w:ilvl w:val="0"/>
          <w:numId w:val="2"/>
        </w:numPr>
        <w:jc w:val="both"/>
        <w:rPr>
          <w:rFonts w:ascii="Arial" w:hAnsi="Arial" w:cs="Arial"/>
          <w:sz w:val="24"/>
          <w:szCs w:val="24"/>
        </w:rPr>
      </w:pPr>
      <w:r>
        <w:rPr>
          <w:rFonts w:ascii="Arial" w:hAnsi="Arial" w:cs="Arial"/>
          <w:sz w:val="24"/>
          <w:szCs w:val="24"/>
        </w:rPr>
        <w:t xml:space="preserve">Se fortalece a la dirección de Servicios Médicos al elevar de nivel a las coordinaciones de las </w:t>
      </w:r>
      <w:r w:rsidR="00AE5976">
        <w:rPr>
          <w:rFonts w:ascii="Arial" w:hAnsi="Arial" w:cs="Arial"/>
          <w:sz w:val="24"/>
          <w:szCs w:val="24"/>
        </w:rPr>
        <w:t>U</w:t>
      </w:r>
      <w:r w:rsidR="00353B83">
        <w:rPr>
          <w:rFonts w:ascii="Arial" w:hAnsi="Arial" w:cs="Arial"/>
          <w:sz w:val="24"/>
          <w:szCs w:val="24"/>
        </w:rPr>
        <w:t xml:space="preserve">NIMEF </w:t>
      </w:r>
      <w:r>
        <w:rPr>
          <w:rFonts w:ascii="Arial" w:hAnsi="Arial" w:cs="Arial"/>
          <w:sz w:val="24"/>
          <w:szCs w:val="24"/>
        </w:rPr>
        <w:t xml:space="preserve">a gerencias.  </w:t>
      </w:r>
    </w:p>
    <w:p w14:paraId="3DEE8B20" w14:textId="77777777" w:rsidR="00BA76AA" w:rsidRPr="00BA76AA" w:rsidRDefault="00BA76AA" w:rsidP="00D207F4">
      <w:pPr>
        <w:pStyle w:val="Prrafodelista"/>
        <w:jc w:val="both"/>
        <w:rPr>
          <w:rFonts w:ascii="Arial" w:hAnsi="Arial" w:cs="Arial"/>
          <w:sz w:val="24"/>
          <w:szCs w:val="24"/>
        </w:rPr>
      </w:pPr>
    </w:p>
    <w:p w14:paraId="3AFAADE9" w14:textId="24D872A4" w:rsidR="00BA76AA" w:rsidRDefault="002D35B5" w:rsidP="00D207F4">
      <w:pPr>
        <w:pStyle w:val="Prrafodelista"/>
        <w:numPr>
          <w:ilvl w:val="0"/>
          <w:numId w:val="2"/>
        </w:numPr>
        <w:jc w:val="both"/>
        <w:rPr>
          <w:rFonts w:ascii="Arial" w:hAnsi="Arial" w:cs="Arial"/>
          <w:sz w:val="24"/>
          <w:szCs w:val="24"/>
        </w:rPr>
      </w:pPr>
      <w:r>
        <w:rPr>
          <w:rFonts w:ascii="Arial" w:hAnsi="Arial" w:cs="Arial"/>
          <w:sz w:val="24"/>
          <w:szCs w:val="24"/>
        </w:rPr>
        <w:t xml:space="preserve">Se readscribe la plaza de abogado especializado </w:t>
      </w:r>
      <w:r w:rsidR="009D5727">
        <w:rPr>
          <w:rFonts w:ascii="Arial" w:hAnsi="Arial" w:cs="Arial"/>
          <w:sz w:val="24"/>
          <w:szCs w:val="24"/>
        </w:rPr>
        <w:t xml:space="preserve">al Despacho de la Dirección General para crear la Unidad de Derechos Humanos e Igualdad de Género. </w:t>
      </w:r>
    </w:p>
    <w:p w14:paraId="59C6F78A" w14:textId="77777777" w:rsidR="009D5727" w:rsidRPr="009D5727" w:rsidRDefault="009D5727" w:rsidP="00D207F4">
      <w:pPr>
        <w:pStyle w:val="Prrafodelista"/>
        <w:jc w:val="both"/>
        <w:rPr>
          <w:rFonts w:ascii="Arial" w:hAnsi="Arial" w:cs="Arial"/>
          <w:sz w:val="24"/>
          <w:szCs w:val="24"/>
        </w:rPr>
      </w:pPr>
    </w:p>
    <w:p w14:paraId="7D001EAE" w14:textId="1BC214BF" w:rsidR="009D5727" w:rsidRDefault="009D5727" w:rsidP="00D207F4">
      <w:pPr>
        <w:pStyle w:val="Prrafodelista"/>
        <w:numPr>
          <w:ilvl w:val="0"/>
          <w:numId w:val="2"/>
        </w:numPr>
        <w:jc w:val="both"/>
        <w:rPr>
          <w:rFonts w:ascii="Arial" w:hAnsi="Arial" w:cs="Arial"/>
          <w:sz w:val="24"/>
          <w:szCs w:val="24"/>
        </w:rPr>
      </w:pPr>
      <w:r>
        <w:rPr>
          <w:rFonts w:ascii="Arial" w:hAnsi="Arial" w:cs="Arial"/>
          <w:sz w:val="24"/>
          <w:szCs w:val="24"/>
        </w:rPr>
        <w:t>Se readscribe al Despacho de la Dirección General, la Coordinación de Archivo.</w:t>
      </w:r>
      <w:r w:rsidRPr="009D5727">
        <w:rPr>
          <w:rFonts w:ascii="Arial" w:hAnsi="Arial" w:cs="Arial"/>
          <w:sz w:val="24"/>
          <w:szCs w:val="24"/>
        </w:rPr>
        <w:t xml:space="preserve"> </w:t>
      </w:r>
    </w:p>
    <w:p w14:paraId="1FE93B43" w14:textId="77777777" w:rsidR="009D5727" w:rsidRPr="009D5727" w:rsidRDefault="009D5727" w:rsidP="00D207F4">
      <w:pPr>
        <w:pStyle w:val="Prrafodelista"/>
        <w:jc w:val="both"/>
        <w:rPr>
          <w:rFonts w:ascii="Arial" w:hAnsi="Arial" w:cs="Arial"/>
          <w:sz w:val="24"/>
          <w:szCs w:val="24"/>
        </w:rPr>
      </w:pPr>
    </w:p>
    <w:p w14:paraId="0D5A55A5" w14:textId="139BB83C" w:rsidR="00BA76AA" w:rsidRDefault="00BA76AA" w:rsidP="00D207F4">
      <w:pPr>
        <w:jc w:val="both"/>
        <w:rPr>
          <w:rFonts w:ascii="Arial" w:hAnsi="Arial" w:cs="Arial"/>
          <w:sz w:val="24"/>
          <w:szCs w:val="24"/>
        </w:rPr>
      </w:pPr>
      <w:r>
        <w:rPr>
          <w:rFonts w:ascii="Arial" w:hAnsi="Arial" w:cs="Arial"/>
          <w:sz w:val="24"/>
          <w:szCs w:val="24"/>
        </w:rPr>
        <w:t>Se promueven también cambios de nombre de algunas direcciones, con el fin de reflejar un cambio de visión en el servicio que otorgan a los afiliados, jubilados, pensionados y beneficiarios. En efecto, la Dirección General de Prestaciones pasará a ser Dirección de Atención a Derechohabientes. Esto con el fin de promover una nueva filosofía de servicio y pasar de una óptica burocrática que entrega de subvenciones a una garantista que satisfacción de derechos de los afiliados, jubilados, pensionados y beneficiarios.</w:t>
      </w:r>
    </w:p>
    <w:p w14:paraId="0A13A6C7" w14:textId="77777777" w:rsidR="00F11872" w:rsidRDefault="00BA76AA" w:rsidP="00D207F4">
      <w:pPr>
        <w:jc w:val="both"/>
        <w:rPr>
          <w:rFonts w:ascii="Arial" w:hAnsi="Arial" w:cs="Arial"/>
          <w:sz w:val="24"/>
          <w:szCs w:val="24"/>
        </w:rPr>
      </w:pPr>
      <w:r>
        <w:rPr>
          <w:rFonts w:ascii="Arial" w:hAnsi="Arial" w:cs="Arial"/>
          <w:sz w:val="24"/>
          <w:szCs w:val="24"/>
        </w:rPr>
        <w:t xml:space="preserve">En el mismo orden de ideas, la Dirección General de Promoción Inmobiliaria se convertirá en </w:t>
      </w:r>
      <w:proofErr w:type="spellStart"/>
      <w:r>
        <w:rPr>
          <w:rFonts w:ascii="Arial" w:hAnsi="Arial" w:cs="Arial"/>
          <w:sz w:val="24"/>
          <w:szCs w:val="24"/>
        </w:rPr>
        <w:t>Direc</w:t>
      </w:r>
      <w:proofErr w:type="spellEnd"/>
    </w:p>
    <w:p w14:paraId="0CCF0FD4" w14:textId="77777777" w:rsidR="00F11872" w:rsidRDefault="00F11872" w:rsidP="00D207F4">
      <w:pPr>
        <w:jc w:val="both"/>
        <w:rPr>
          <w:rFonts w:ascii="Arial" w:hAnsi="Arial" w:cs="Arial"/>
          <w:sz w:val="24"/>
          <w:szCs w:val="24"/>
        </w:rPr>
      </w:pPr>
    </w:p>
    <w:p w14:paraId="628F21D0" w14:textId="2EF1C994" w:rsidR="006A76AE" w:rsidRDefault="00BA76AA" w:rsidP="00D207F4">
      <w:pPr>
        <w:jc w:val="both"/>
        <w:rPr>
          <w:rFonts w:ascii="Arial" w:hAnsi="Arial" w:cs="Arial"/>
          <w:sz w:val="24"/>
          <w:szCs w:val="24"/>
        </w:rPr>
      </w:pPr>
      <w:proofErr w:type="spellStart"/>
      <w:r>
        <w:rPr>
          <w:rFonts w:ascii="Arial" w:hAnsi="Arial" w:cs="Arial"/>
          <w:sz w:val="24"/>
          <w:szCs w:val="24"/>
        </w:rPr>
        <w:t>ción</w:t>
      </w:r>
      <w:proofErr w:type="spellEnd"/>
      <w:r>
        <w:rPr>
          <w:rFonts w:ascii="Arial" w:hAnsi="Arial" w:cs="Arial"/>
          <w:sz w:val="24"/>
          <w:szCs w:val="24"/>
        </w:rPr>
        <w:t xml:space="preserve"> Gestión y Protección del Patrimonio. El cambio de óptica es simple de explicar: pasar de la idea de negocio a la noción de protección y crecimiento del patrimonio para beneficio de los afiliados, jubilados, pensionados y beneficiarios.</w:t>
      </w:r>
    </w:p>
    <w:p w14:paraId="4D745783" w14:textId="044F2EEE" w:rsidR="00BA76AA" w:rsidRDefault="00BA76AA" w:rsidP="00D207F4">
      <w:pPr>
        <w:jc w:val="both"/>
        <w:rPr>
          <w:rFonts w:ascii="Arial" w:hAnsi="Arial" w:cs="Arial"/>
          <w:sz w:val="24"/>
          <w:szCs w:val="24"/>
        </w:rPr>
      </w:pPr>
      <w:r>
        <w:rPr>
          <w:rFonts w:ascii="Arial" w:hAnsi="Arial" w:cs="Arial"/>
          <w:sz w:val="24"/>
          <w:szCs w:val="24"/>
        </w:rPr>
        <w:t>En resumen, el anteproyecto de reglamento y la organización que conlleva pretende</w:t>
      </w:r>
      <w:r w:rsidR="00D207F4">
        <w:rPr>
          <w:rFonts w:ascii="Arial" w:hAnsi="Arial" w:cs="Arial"/>
          <w:sz w:val="24"/>
          <w:szCs w:val="24"/>
        </w:rPr>
        <w:t xml:space="preserve"> los beneficios siguientes:</w:t>
      </w:r>
      <w:r>
        <w:rPr>
          <w:rFonts w:ascii="Arial" w:hAnsi="Arial" w:cs="Arial"/>
          <w:sz w:val="24"/>
          <w:szCs w:val="24"/>
        </w:rPr>
        <w:t xml:space="preserve"> </w:t>
      </w:r>
    </w:p>
    <w:p w14:paraId="5E680955" w14:textId="53DF8247" w:rsidR="00BA76AA" w:rsidRDefault="00BA76AA" w:rsidP="00D207F4">
      <w:pPr>
        <w:pStyle w:val="Prrafodelista"/>
        <w:numPr>
          <w:ilvl w:val="0"/>
          <w:numId w:val="6"/>
        </w:numPr>
        <w:jc w:val="both"/>
        <w:rPr>
          <w:rFonts w:ascii="Arial" w:hAnsi="Arial" w:cs="Arial"/>
          <w:sz w:val="24"/>
          <w:szCs w:val="24"/>
        </w:rPr>
      </w:pPr>
      <w:r>
        <w:rPr>
          <w:rFonts w:ascii="Arial" w:hAnsi="Arial" w:cs="Arial"/>
          <w:sz w:val="24"/>
          <w:szCs w:val="24"/>
        </w:rPr>
        <w:t>M</w:t>
      </w:r>
      <w:r w:rsidRPr="00BA76AA">
        <w:rPr>
          <w:rFonts w:ascii="Arial" w:hAnsi="Arial" w:cs="Arial"/>
          <w:sz w:val="24"/>
          <w:szCs w:val="24"/>
        </w:rPr>
        <w:t>ejorar el control jerárquico y funcional en las operaciones del instituto</w:t>
      </w:r>
      <w:r w:rsidR="00D207F4">
        <w:rPr>
          <w:rFonts w:ascii="Arial" w:hAnsi="Arial" w:cs="Arial"/>
          <w:sz w:val="24"/>
          <w:szCs w:val="24"/>
        </w:rPr>
        <w:t>;</w:t>
      </w:r>
    </w:p>
    <w:p w14:paraId="0191F4FC" w14:textId="4EC8E473" w:rsidR="00BA76AA" w:rsidRDefault="00BA76AA" w:rsidP="00D207F4">
      <w:pPr>
        <w:pStyle w:val="Prrafodelista"/>
        <w:numPr>
          <w:ilvl w:val="0"/>
          <w:numId w:val="6"/>
        </w:numPr>
        <w:jc w:val="both"/>
        <w:rPr>
          <w:rFonts w:ascii="Arial" w:hAnsi="Arial" w:cs="Arial"/>
          <w:sz w:val="24"/>
          <w:szCs w:val="24"/>
        </w:rPr>
      </w:pPr>
      <w:r>
        <w:rPr>
          <w:rFonts w:ascii="Arial" w:hAnsi="Arial" w:cs="Arial"/>
          <w:sz w:val="24"/>
          <w:szCs w:val="24"/>
        </w:rPr>
        <w:t>M</w:t>
      </w:r>
      <w:r w:rsidRPr="00BA76AA">
        <w:rPr>
          <w:rFonts w:ascii="Arial" w:hAnsi="Arial" w:cs="Arial"/>
          <w:sz w:val="24"/>
          <w:szCs w:val="24"/>
        </w:rPr>
        <w:t>ejorar la coordinación entre las áreas</w:t>
      </w:r>
      <w:r w:rsidR="00D207F4">
        <w:rPr>
          <w:rFonts w:ascii="Arial" w:hAnsi="Arial" w:cs="Arial"/>
          <w:sz w:val="24"/>
          <w:szCs w:val="24"/>
        </w:rPr>
        <w:t>;</w:t>
      </w:r>
    </w:p>
    <w:p w14:paraId="567353A0" w14:textId="33986B92" w:rsidR="00BA76AA" w:rsidRDefault="00BA76AA" w:rsidP="00D207F4">
      <w:pPr>
        <w:pStyle w:val="Prrafodelista"/>
        <w:numPr>
          <w:ilvl w:val="0"/>
          <w:numId w:val="6"/>
        </w:numPr>
        <w:jc w:val="both"/>
        <w:rPr>
          <w:rFonts w:ascii="Arial" w:hAnsi="Arial" w:cs="Arial"/>
          <w:sz w:val="24"/>
          <w:szCs w:val="24"/>
        </w:rPr>
      </w:pPr>
      <w:r>
        <w:rPr>
          <w:rFonts w:ascii="Arial" w:hAnsi="Arial" w:cs="Arial"/>
          <w:sz w:val="24"/>
          <w:szCs w:val="24"/>
        </w:rPr>
        <w:t>E</w:t>
      </w:r>
      <w:r w:rsidRPr="00BA76AA">
        <w:rPr>
          <w:rFonts w:ascii="Arial" w:hAnsi="Arial" w:cs="Arial"/>
          <w:sz w:val="24"/>
          <w:szCs w:val="24"/>
        </w:rPr>
        <w:t>vitar minusvalías</w:t>
      </w:r>
      <w:r>
        <w:rPr>
          <w:rFonts w:ascii="Arial" w:hAnsi="Arial" w:cs="Arial"/>
          <w:sz w:val="24"/>
          <w:szCs w:val="24"/>
        </w:rPr>
        <w:t xml:space="preserve"> en la administración de los fideicomisos</w:t>
      </w:r>
      <w:r w:rsidR="00D207F4">
        <w:rPr>
          <w:rFonts w:ascii="Arial" w:hAnsi="Arial" w:cs="Arial"/>
          <w:sz w:val="24"/>
          <w:szCs w:val="24"/>
        </w:rPr>
        <w:t>;</w:t>
      </w:r>
      <w:r>
        <w:rPr>
          <w:rFonts w:ascii="Arial" w:hAnsi="Arial" w:cs="Arial"/>
          <w:sz w:val="24"/>
          <w:szCs w:val="24"/>
        </w:rPr>
        <w:t xml:space="preserve"> </w:t>
      </w:r>
    </w:p>
    <w:p w14:paraId="53302354" w14:textId="1B1AEF76" w:rsidR="00BA76AA" w:rsidRDefault="00BA76AA" w:rsidP="00D207F4">
      <w:pPr>
        <w:pStyle w:val="Prrafodelista"/>
        <w:numPr>
          <w:ilvl w:val="0"/>
          <w:numId w:val="6"/>
        </w:numPr>
        <w:jc w:val="both"/>
        <w:rPr>
          <w:rFonts w:ascii="Arial" w:hAnsi="Arial" w:cs="Arial"/>
          <w:sz w:val="24"/>
          <w:szCs w:val="24"/>
        </w:rPr>
      </w:pPr>
      <w:r>
        <w:rPr>
          <w:rFonts w:ascii="Arial" w:hAnsi="Arial" w:cs="Arial"/>
          <w:sz w:val="24"/>
          <w:szCs w:val="24"/>
        </w:rPr>
        <w:t>P</w:t>
      </w:r>
      <w:r w:rsidRPr="00BA76AA">
        <w:rPr>
          <w:rFonts w:ascii="Arial" w:hAnsi="Arial" w:cs="Arial"/>
          <w:sz w:val="24"/>
          <w:szCs w:val="24"/>
        </w:rPr>
        <w:t>romover un adecuado control del patrimonio del IPEJAL</w:t>
      </w:r>
      <w:r w:rsidR="00D207F4">
        <w:rPr>
          <w:rFonts w:ascii="Arial" w:hAnsi="Arial" w:cs="Arial"/>
          <w:sz w:val="24"/>
          <w:szCs w:val="24"/>
        </w:rPr>
        <w:t xml:space="preserve">; y, </w:t>
      </w:r>
    </w:p>
    <w:p w14:paraId="59E03D27" w14:textId="7D0F5D0F" w:rsidR="00BA76AA" w:rsidRPr="00BA76AA" w:rsidRDefault="00BA76AA" w:rsidP="00D207F4">
      <w:pPr>
        <w:pStyle w:val="Prrafodelista"/>
        <w:numPr>
          <w:ilvl w:val="0"/>
          <w:numId w:val="6"/>
        </w:numPr>
        <w:jc w:val="both"/>
        <w:rPr>
          <w:rFonts w:ascii="Arial" w:hAnsi="Arial" w:cs="Arial"/>
          <w:sz w:val="24"/>
          <w:szCs w:val="24"/>
        </w:rPr>
      </w:pPr>
      <w:r>
        <w:rPr>
          <w:rFonts w:ascii="Arial" w:hAnsi="Arial" w:cs="Arial"/>
          <w:sz w:val="24"/>
          <w:szCs w:val="24"/>
        </w:rPr>
        <w:t xml:space="preserve">Mejorar la calidad de los servicios médicos. </w:t>
      </w:r>
    </w:p>
    <w:p w14:paraId="74F1AF7F" w14:textId="30457E85" w:rsidR="00D207F4" w:rsidRDefault="00D207F4" w:rsidP="00D207F4">
      <w:pPr>
        <w:jc w:val="both"/>
        <w:rPr>
          <w:rFonts w:ascii="Arial" w:hAnsi="Arial" w:cs="Arial"/>
          <w:b/>
          <w:sz w:val="24"/>
          <w:szCs w:val="24"/>
        </w:rPr>
      </w:pPr>
    </w:p>
    <w:p w14:paraId="48B8F76D" w14:textId="77777777" w:rsidR="00E301F0" w:rsidRDefault="00E301F0" w:rsidP="00D207F4">
      <w:pPr>
        <w:jc w:val="both"/>
        <w:rPr>
          <w:rFonts w:ascii="Arial" w:hAnsi="Arial" w:cs="Arial"/>
          <w:b/>
          <w:sz w:val="24"/>
          <w:szCs w:val="24"/>
        </w:rPr>
      </w:pPr>
    </w:p>
    <w:p w14:paraId="0E362B8D" w14:textId="7AF8EC02" w:rsidR="009D5727" w:rsidRPr="00F04A33" w:rsidRDefault="00D207F4" w:rsidP="00D207F4">
      <w:pPr>
        <w:jc w:val="both"/>
        <w:rPr>
          <w:rFonts w:ascii="Arial" w:hAnsi="Arial" w:cs="Arial"/>
          <w:b/>
          <w:sz w:val="24"/>
          <w:szCs w:val="24"/>
        </w:rPr>
      </w:pPr>
      <w:r w:rsidRPr="00F04A33">
        <w:rPr>
          <w:rFonts w:ascii="Arial" w:hAnsi="Arial" w:cs="Arial"/>
          <w:b/>
          <w:sz w:val="24"/>
          <w:szCs w:val="24"/>
        </w:rPr>
        <w:t>3.</w:t>
      </w:r>
      <w:r w:rsidR="009D5727" w:rsidRPr="00F04A33">
        <w:rPr>
          <w:rFonts w:ascii="Arial" w:hAnsi="Arial" w:cs="Arial"/>
          <w:b/>
          <w:sz w:val="24"/>
          <w:szCs w:val="24"/>
        </w:rPr>
        <w:t xml:space="preserve">Análisis de costo beneficio del cambio de organización propuesto en el anteproyecto de Reglamento Interior del Instituto. </w:t>
      </w:r>
    </w:p>
    <w:p w14:paraId="3A82F9A5" w14:textId="77777777" w:rsidR="00E301F0" w:rsidRPr="00D207F4" w:rsidRDefault="00E301F0" w:rsidP="00D207F4">
      <w:pPr>
        <w:jc w:val="both"/>
        <w:rPr>
          <w:rFonts w:ascii="Arial" w:hAnsi="Arial" w:cs="Arial"/>
          <w:b/>
          <w:sz w:val="24"/>
          <w:szCs w:val="24"/>
          <w:highlight w:val="yellow"/>
        </w:rPr>
      </w:pPr>
    </w:p>
    <w:p w14:paraId="120809E6" w14:textId="77777777" w:rsidR="00153869" w:rsidRDefault="00F10C41" w:rsidP="00D207F4">
      <w:pPr>
        <w:jc w:val="both"/>
        <w:rPr>
          <w:rFonts w:ascii="Arial" w:hAnsi="Arial" w:cs="Arial"/>
          <w:bCs/>
          <w:sz w:val="24"/>
          <w:szCs w:val="24"/>
        </w:rPr>
      </w:pPr>
      <w:r>
        <w:rPr>
          <w:rFonts w:ascii="Arial" w:hAnsi="Arial" w:cs="Arial"/>
          <w:bCs/>
          <w:sz w:val="24"/>
          <w:szCs w:val="24"/>
        </w:rPr>
        <w:t xml:space="preserve">Actualmente dentro de la plantilla de </w:t>
      </w:r>
      <w:proofErr w:type="gramStart"/>
      <w:r w:rsidRPr="007C4D63">
        <w:rPr>
          <w:rFonts w:ascii="Arial" w:hAnsi="Arial" w:cs="Arial"/>
          <w:bCs/>
          <w:i/>
          <w:iCs/>
          <w:sz w:val="24"/>
          <w:szCs w:val="24"/>
        </w:rPr>
        <w:t>Directores Generales</w:t>
      </w:r>
      <w:proofErr w:type="gramEnd"/>
      <w:r>
        <w:rPr>
          <w:rFonts w:ascii="Arial" w:hAnsi="Arial" w:cs="Arial"/>
          <w:bCs/>
          <w:sz w:val="24"/>
          <w:szCs w:val="24"/>
        </w:rPr>
        <w:t xml:space="preserve"> del IPEJAL, </w:t>
      </w:r>
      <w:r w:rsidR="007C4D63">
        <w:rPr>
          <w:rFonts w:ascii="Arial" w:hAnsi="Arial" w:cs="Arial"/>
          <w:bCs/>
          <w:sz w:val="24"/>
          <w:szCs w:val="24"/>
        </w:rPr>
        <w:t>existe una brecha salarial</w:t>
      </w:r>
      <w:r w:rsidR="00DD6550">
        <w:rPr>
          <w:rFonts w:ascii="Arial" w:hAnsi="Arial" w:cs="Arial"/>
          <w:bCs/>
          <w:sz w:val="24"/>
          <w:szCs w:val="24"/>
        </w:rPr>
        <w:t xml:space="preserve"> entre los titulares</w:t>
      </w:r>
      <w:r w:rsidR="007C4D63">
        <w:rPr>
          <w:rFonts w:ascii="Arial" w:hAnsi="Arial" w:cs="Arial"/>
          <w:bCs/>
          <w:sz w:val="24"/>
          <w:szCs w:val="24"/>
        </w:rPr>
        <w:t xml:space="preserve">, lo anterior a resultas de contar con tres tipos de sueldo </w:t>
      </w:r>
      <w:r w:rsidR="00DD6550">
        <w:rPr>
          <w:rFonts w:ascii="Arial" w:hAnsi="Arial" w:cs="Arial"/>
          <w:bCs/>
          <w:sz w:val="24"/>
          <w:szCs w:val="24"/>
        </w:rPr>
        <w:t>distintos</w:t>
      </w:r>
      <w:r w:rsidR="00B37A70">
        <w:rPr>
          <w:rFonts w:ascii="Arial" w:hAnsi="Arial" w:cs="Arial"/>
          <w:bCs/>
          <w:sz w:val="24"/>
          <w:szCs w:val="24"/>
        </w:rPr>
        <w:t>; por lo que dentro de la propuesta de reestructuración de</w:t>
      </w:r>
      <w:r w:rsidR="00DD6550">
        <w:rPr>
          <w:rFonts w:ascii="Arial" w:hAnsi="Arial" w:cs="Arial"/>
          <w:bCs/>
          <w:sz w:val="24"/>
          <w:szCs w:val="24"/>
        </w:rPr>
        <w:t xml:space="preserve">l instituto como primer paso se plantea, homologar y tabular el </w:t>
      </w:r>
    </w:p>
    <w:p w14:paraId="50E29923" w14:textId="367DC554" w:rsidR="00F26740" w:rsidRDefault="000C7F2E" w:rsidP="00D207F4">
      <w:pPr>
        <w:jc w:val="both"/>
        <w:rPr>
          <w:rFonts w:ascii="Arial" w:hAnsi="Arial" w:cs="Arial"/>
          <w:sz w:val="24"/>
          <w:szCs w:val="24"/>
        </w:rPr>
      </w:pPr>
      <w:r>
        <w:rPr>
          <w:rFonts w:ascii="Arial" w:hAnsi="Arial" w:cs="Arial"/>
          <w:bCs/>
          <w:sz w:val="24"/>
          <w:szCs w:val="24"/>
        </w:rPr>
        <w:t xml:space="preserve">Ahora bien, bajo la premisa de una nueva </w:t>
      </w:r>
      <w:r>
        <w:rPr>
          <w:rFonts w:ascii="Arial" w:hAnsi="Arial" w:cs="Arial"/>
          <w:sz w:val="24"/>
          <w:szCs w:val="24"/>
        </w:rPr>
        <w:t xml:space="preserve">dinámica organizacional, </w:t>
      </w:r>
      <w:r w:rsidR="00D77C36">
        <w:rPr>
          <w:rFonts w:ascii="Arial" w:hAnsi="Arial" w:cs="Arial"/>
          <w:sz w:val="24"/>
          <w:szCs w:val="24"/>
        </w:rPr>
        <w:t xml:space="preserve">resolver en primera instancia la </w:t>
      </w:r>
      <w:r w:rsidR="000C3059">
        <w:rPr>
          <w:rFonts w:ascii="Arial" w:hAnsi="Arial" w:cs="Arial"/>
          <w:sz w:val="24"/>
          <w:szCs w:val="24"/>
        </w:rPr>
        <w:t xml:space="preserve">brecha actual, </w:t>
      </w:r>
      <w:r w:rsidR="00C71593">
        <w:rPr>
          <w:rFonts w:ascii="Arial" w:hAnsi="Arial" w:cs="Arial"/>
          <w:sz w:val="24"/>
          <w:szCs w:val="24"/>
        </w:rPr>
        <w:t>permite contar con un nivel de exigencia equitativo para los titulare</w:t>
      </w:r>
      <w:r w:rsidR="0035725E">
        <w:rPr>
          <w:rFonts w:ascii="Arial" w:hAnsi="Arial" w:cs="Arial"/>
          <w:sz w:val="24"/>
          <w:szCs w:val="24"/>
        </w:rPr>
        <w:t xml:space="preserve">s, evitando en un futuro problemas laborales por la distinción ya mencionada. </w:t>
      </w:r>
    </w:p>
    <w:p w14:paraId="5A74CEFA" w14:textId="7ABC1C1A" w:rsidR="00EE6630" w:rsidRDefault="00977223" w:rsidP="00EE6630">
      <w:pPr>
        <w:jc w:val="both"/>
        <w:rPr>
          <w:rFonts w:ascii="Arial" w:hAnsi="Arial" w:cs="Arial"/>
          <w:sz w:val="24"/>
          <w:szCs w:val="24"/>
        </w:rPr>
      </w:pPr>
      <w:r>
        <w:rPr>
          <w:rFonts w:ascii="Arial" w:hAnsi="Arial" w:cs="Arial"/>
          <w:sz w:val="24"/>
          <w:szCs w:val="24"/>
        </w:rPr>
        <w:t>En otro orden de ideas, d</w:t>
      </w:r>
      <w:r w:rsidR="00D47B49">
        <w:rPr>
          <w:rFonts w:ascii="Arial" w:hAnsi="Arial" w:cs="Arial"/>
          <w:sz w:val="24"/>
          <w:szCs w:val="24"/>
        </w:rPr>
        <w:t xml:space="preserve">entro de este </w:t>
      </w:r>
      <w:r w:rsidR="004E5C56">
        <w:rPr>
          <w:rFonts w:ascii="Arial" w:hAnsi="Arial" w:cs="Arial"/>
          <w:sz w:val="24"/>
          <w:szCs w:val="24"/>
        </w:rPr>
        <w:t>proceso</w:t>
      </w:r>
      <w:r w:rsidR="00D47B49">
        <w:rPr>
          <w:rFonts w:ascii="Arial" w:hAnsi="Arial" w:cs="Arial"/>
          <w:sz w:val="24"/>
          <w:szCs w:val="24"/>
        </w:rPr>
        <w:t xml:space="preserve"> de homologación</w:t>
      </w:r>
      <w:r w:rsidR="004E5C56">
        <w:rPr>
          <w:rFonts w:ascii="Arial" w:hAnsi="Arial" w:cs="Arial"/>
          <w:sz w:val="24"/>
          <w:szCs w:val="24"/>
        </w:rPr>
        <w:t>,</w:t>
      </w:r>
      <w:r w:rsidR="00D47B49">
        <w:rPr>
          <w:rFonts w:ascii="Arial" w:hAnsi="Arial" w:cs="Arial"/>
          <w:sz w:val="24"/>
          <w:szCs w:val="24"/>
        </w:rPr>
        <w:t xml:space="preserve"> se propone </w:t>
      </w:r>
      <w:r w:rsidR="004E5C56">
        <w:rPr>
          <w:rFonts w:ascii="Arial" w:hAnsi="Arial" w:cs="Arial"/>
          <w:sz w:val="24"/>
          <w:szCs w:val="24"/>
        </w:rPr>
        <w:t>otorgarle</w:t>
      </w:r>
      <w:r w:rsidR="00D47B49">
        <w:rPr>
          <w:rFonts w:ascii="Arial" w:hAnsi="Arial" w:cs="Arial"/>
          <w:sz w:val="24"/>
          <w:szCs w:val="24"/>
        </w:rPr>
        <w:t xml:space="preserve"> </w:t>
      </w:r>
      <w:r w:rsidR="004E5C56">
        <w:rPr>
          <w:rFonts w:ascii="Arial" w:hAnsi="Arial" w:cs="Arial"/>
          <w:sz w:val="24"/>
          <w:szCs w:val="24"/>
        </w:rPr>
        <w:t xml:space="preserve">prestaciones al Consejero Jurídico </w:t>
      </w:r>
      <w:r w:rsidR="00353B83">
        <w:rPr>
          <w:rFonts w:ascii="Arial" w:hAnsi="Arial" w:cs="Arial"/>
          <w:sz w:val="24"/>
          <w:szCs w:val="24"/>
        </w:rPr>
        <w:t xml:space="preserve">que está adscrito a la Dirección General </w:t>
      </w:r>
      <w:r w:rsidR="004E5C56">
        <w:rPr>
          <w:rFonts w:ascii="Arial" w:hAnsi="Arial" w:cs="Arial"/>
          <w:sz w:val="24"/>
          <w:szCs w:val="24"/>
        </w:rPr>
        <w:t xml:space="preserve">así como al </w:t>
      </w:r>
      <w:r w:rsidR="00353B83">
        <w:rPr>
          <w:rFonts w:ascii="Arial" w:hAnsi="Arial" w:cs="Arial"/>
          <w:sz w:val="24"/>
          <w:szCs w:val="24"/>
        </w:rPr>
        <w:t xml:space="preserve">que será el </w:t>
      </w:r>
      <w:r w:rsidR="004E5C56">
        <w:rPr>
          <w:rFonts w:ascii="Arial" w:hAnsi="Arial" w:cs="Arial"/>
          <w:sz w:val="24"/>
          <w:szCs w:val="24"/>
        </w:rPr>
        <w:t>Gerente de Subrogados</w:t>
      </w:r>
      <w:r w:rsidR="00353B83">
        <w:rPr>
          <w:rFonts w:ascii="Arial" w:hAnsi="Arial" w:cs="Arial"/>
          <w:sz w:val="24"/>
          <w:szCs w:val="24"/>
        </w:rPr>
        <w:t>, adscrito a la Dirección de Servicios Médicos</w:t>
      </w:r>
      <w:r w:rsidR="004E5C56">
        <w:rPr>
          <w:rFonts w:ascii="Arial" w:hAnsi="Arial" w:cs="Arial"/>
          <w:sz w:val="24"/>
          <w:szCs w:val="24"/>
        </w:rPr>
        <w:t>; el primero</w:t>
      </w:r>
      <w:r w:rsidR="00391E71">
        <w:rPr>
          <w:rFonts w:ascii="Arial" w:hAnsi="Arial" w:cs="Arial"/>
          <w:sz w:val="24"/>
          <w:szCs w:val="24"/>
        </w:rPr>
        <w:t>,</w:t>
      </w:r>
      <w:r w:rsidR="004E5C56">
        <w:rPr>
          <w:rFonts w:ascii="Arial" w:hAnsi="Arial" w:cs="Arial"/>
          <w:sz w:val="24"/>
          <w:szCs w:val="24"/>
        </w:rPr>
        <w:t xml:space="preserve"> es el único puesto del organigrama directivo contratado mediante una modalidad </w:t>
      </w:r>
      <w:r w:rsidR="004E5C56" w:rsidRPr="004E5C56">
        <w:rPr>
          <w:rFonts w:ascii="Arial" w:hAnsi="Arial" w:cs="Arial"/>
          <w:i/>
          <w:iCs/>
          <w:sz w:val="24"/>
          <w:szCs w:val="24"/>
        </w:rPr>
        <w:t>transitoria</w:t>
      </w:r>
      <w:r w:rsidR="004E5C56">
        <w:rPr>
          <w:rFonts w:ascii="Arial" w:hAnsi="Arial" w:cs="Arial"/>
          <w:sz w:val="24"/>
          <w:szCs w:val="24"/>
        </w:rPr>
        <w:t xml:space="preserve">, por lo que en este proceso </w:t>
      </w:r>
      <w:r>
        <w:rPr>
          <w:rFonts w:ascii="Arial" w:hAnsi="Arial" w:cs="Arial"/>
          <w:sz w:val="24"/>
          <w:szCs w:val="24"/>
        </w:rPr>
        <w:t>se plantea incorporarlo en iguales condiciones que el resto de</w:t>
      </w:r>
      <w:r w:rsidR="00EE6630">
        <w:rPr>
          <w:rFonts w:ascii="Arial" w:hAnsi="Arial" w:cs="Arial"/>
          <w:sz w:val="24"/>
          <w:szCs w:val="24"/>
        </w:rPr>
        <w:t xml:space="preserve"> nombramientos, en ese sentido para la creación de la Gerencia de Subrogados se propone tomar una plaza transitoria de </w:t>
      </w:r>
      <w:r w:rsidR="00EE6630" w:rsidRPr="00EE6630">
        <w:rPr>
          <w:rFonts w:ascii="Arial" w:hAnsi="Arial" w:cs="Arial"/>
          <w:i/>
          <w:iCs/>
          <w:sz w:val="24"/>
          <w:szCs w:val="24"/>
        </w:rPr>
        <w:t>Médico General</w:t>
      </w:r>
      <w:r w:rsidR="00EE6630">
        <w:rPr>
          <w:rFonts w:ascii="Arial" w:hAnsi="Arial" w:cs="Arial"/>
          <w:sz w:val="24"/>
          <w:szCs w:val="24"/>
        </w:rPr>
        <w:t xml:space="preserve"> y de igual forma pasar a una modalidad con prestaciones, en ambos casos no se modifica sustancialmente el salario</w:t>
      </w:r>
      <w:r w:rsidR="0035725E">
        <w:rPr>
          <w:rFonts w:ascii="Arial" w:hAnsi="Arial" w:cs="Arial"/>
          <w:sz w:val="24"/>
          <w:szCs w:val="24"/>
        </w:rPr>
        <w:t xml:space="preserve">. </w:t>
      </w:r>
    </w:p>
    <w:p w14:paraId="5C27664B" w14:textId="2BE89428" w:rsidR="00777B73" w:rsidRDefault="00391E71" w:rsidP="00D207F4">
      <w:pPr>
        <w:jc w:val="both"/>
        <w:rPr>
          <w:rFonts w:ascii="Arial" w:hAnsi="Arial" w:cs="Arial"/>
          <w:sz w:val="24"/>
          <w:szCs w:val="24"/>
        </w:rPr>
      </w:pPr>
      <w:r>
        <w:rPr>
          <w:rFonts w:ascii="Arial" w:hAnsi="Arial" w:cs="Arial"/>
          <w:sz w:val="24"/>
          <w:szCs w:val="24"/>
        </w:rPr>
        <w:t xml:space="preserve">Como se mencionó con anterioridad, al suprimir </w:t>
      </w:r>
      <w:r w:rsidRPr="00391E71">
        <w:rPr>
          <w:rFonts w:ascii="Arial" w:hAnsi="Arial" w:cs="Arial"/>
          <w:sz w:val="24"/>
          <w:szCs w:val="24"/>
        </w:rPr>
        <w:t>la</w:t>
      </w:r>
      <w:r w:rsidRPr="00391E71">
        <w:rPr>
          <w:rFonts w:ascii="Arial" w:hAnsi="Arial" w:cs="Arial"/>
          <w:i/>
          <w:iCs/>
          <w:sz w:val="24"/>
          <w:szCs w:val="24"/>
        </w:rPr>
        <w:t xml:space="preserve"> Dirección de Estudios Económicos, Actuariales y de Presupuesto</w:t>
      </w:r>
      <w:r>
        <w:rPr>
          <w:rFonts w:ascii="Arial" w:hAnsi="Arial" w:cs="Arial"/>
          <w:sz w:val="24"/>
          <w:szCs w:val="24"/>
        </w:rPr>
        <w:t xml:space="preserve">, esa unidad administrativa se propone sea redireccionada a la creación de la Dirección de Fideicomisos y para poder complementar las gerencias a su cargo, se propone tomar un puesto subalterno de la unidad suprimida y redireccionarlo de igual forma.  </w:t>
      </w:r>
    </w:p>
    <w:p w14:paraId="125ED753" w14:textId="4DADDCAA" w:rsidR="00353B83" w:rsidRDefault="00353B83" w:rsidP="000C7F2E">
      <w:pPr>
        <w:jc w:val="both"/>
        <w:rPr>
          <w:rFonts w:ascii="Arial" w:hAnsi="Arial" w:cs="Arial"/>
          <w:sz w:val="24"/>
          <w:szCs w:val="24"/>
        </w:rPr>
      </w:pPr>
      <w:r>
        <w:rPr>
          <w:rFonts w:ascii="Arial" w:hAnsi="Arial" w:cs="Arial"/>
          <w:sz w:val="24"/>
          <w:szCs w:val="24"/>
        </w:rPr>
        <w:t>En consecuencia, e</w:t>
      </w:r>
      <w:r w:rsidR="00E54616">
        <w:rPr>
          <w:rFonts w:ascii="Arial" w:hAnsi="Arial" w:cs="Arial"/>
          <w:sz w:val="24"/>
          <w:szCs w:val="24"/>
        </w:rPr>
        <w:t xml:space="preserve">l </w:t>
      </w:r>
      <w:r w:rsidR="00E54616" w:rsidRPr="00C865F8">
        <w:rPr>
          <w:rFonts w:ascii="Arial" w:hAnsi="Arial" w:cs="Arial"/>
          <w:b/>
          <w:bCs/>
          <w:sz w:val="24"/>
          <w:szCs w:val="24"/>
        </w:rPr>
        <w:t xml:space="preserve">costo </w:t>
      </w:r>
      <w:r w:rsidR="00C865F8" w:rsidRPr="00C865F8">
        <w:rPr>
          <w:rFonts w:ascii="Arial" w:hAnsi="Arial" w:cs="Arial"/>
          <w:b/>
          <w:bCs/>
          <w:sz w:val="24"/>
          <w:szCs w:val="24"/>
        </w:rPr>
        <w:t>anual</w:t>
      </w:r>
      <w:r w:rsidR="00C865F8">
        <w:rPr>
          <w:rFonts w:ascii="Arial" w:hAnsi="Arial" w:cs="Arial"/>
          <w:sz w:val="24"/>
          <w:szCs w:val="24"/>
        </w:rPr>
        <w:t xml:space="preserve"> </w:t>
      </w:r>
      <w:r w:rsidR="00E54616">
        <w:rPr>
          <w:rFonts w:ascii="Arial" w:hAnsi="Arial" w:cs="Arial"/>
          <w:sz w:val="24"/>
          <w:szCs w:val="24"/>
        </w:rPr>
        <w:t xml:space="preserve">de esta primera homologación asciende a </w:t>
      </w:r>
      <w:r w:rsidR="00E54616" w:rsidRPr="00E54616">
        <w:rPr>
          <w:rFonts w:ascii="Arial" w:hAnsi="Arial" w:cs="Arial"/>
          <w:b/>
          <w:bCs/>
          <w:sz w:val="24"/>
          <w:szCs w:val="24"/>
        </w:rPr>
        <w:t>$776,154.00</w:t>
      </w:r>
      <w:r>
        <w:rPr>
          <w:rFonts w:ascii="Arial" w:hAnsi="Arial" w:cs="Arial"/>
          <w:b/>
          <w:bCs/>
          <w:sz w:val="24"/>
          <w:szCs w:val="24"/>
        </w:rPr>
        <w:t xml:space="preserve">. </w:t>
      </w:r>
      <w:r w:rsidRPr="00353B83">
        <w:rPr>
          <w:rFonts w:ascii="Arial" w:hAnsi="Arial" w:cs="Arial"/>
          <w:sz w:val="24"/>
          <w:szCs w:val="24"/>
        </w:rPr>
        <w:t xml:space="preserve">Sin embargo, </w:t>
      </w:r>
      <w:r>
        <w:rPr>
          <w:rFonts w:ascii="Arial" w:hAnsi="Arial" w:cs="Arial"/>
          <w:sz w:val="24"/>
          <w:szCs w:val="24"/>
        </w:rPr>
        <w:t xml:space="preserve">las readscripciones y los nuevos puestos no tienen costo identificado porque cambian el nombre o la función, sin tocar el nivel salarial. El incentivo para que los responsables de dichas áreas eleven el perfil y el desempeño de sus nuevos cargos será justamente la homologación salarial al nivel correspondiente. </w:t>
      </w:r>
    </w:p>
    <w:p w14:paraId="73C6C3EA" w14:textId="7BB60EB3" w:rsidR="00E301F0" w:rsidRDefault="0035725E" w:rsidP="000C7F2E">
      <w:pPr>
        <w:jc w:val="both"/>
        <w:rPr>
          <w:rFonts w:ascii="Arial" w:hAnsi="Arial" w:cs="Arial"/>
          <w:sz w:val="24"/>
          <w:szCs w:val="24"/>
        </w:rPr>
      </w:pPr>
      <w:r>
        <w:rPr>
          <w:rFonts w:ascii="Arial" w:hAnsi="Arial" w:cs="Arial"/>
          <w:sz w:val="24"/>
          <w:szCs w:val="24"/>
        </w:rPr>
        <w:t xml:space="preserve">Por lo que una inversión de setecientos mil pesos resulta ínfima respecto del presupuesto etiquetado para la </w:t>
      </w:r>
      <w:r w:rsidR="00353B83">
        <w:rPr>
          <w:rFonts w:ascii="Arial" w:hAnsi="Arial" w:cs="Arial"/>
          <w:sz w:val="24"/>
          <w:szCs w:val="24"/>
        </w:rPr>
        <w:t>nómina</w:t>
      </w:r>
      <w:r>
        <w:rPr>
          <w:rFonts w:ascii="Arial" w:hAnsi="Arial" w:cs="Arial"/>
          <w:sz w:val="24"/>
          <w:szCs w:val="24"/>
        </w:rPr>
        <w:t xml:space="preserve"> del instituto. </w:t>
      </w:r>
      <w:r w:rsidR="00654A44">
        <w:rPr>
          <w:rFonts w:ascii="Arial" w:hAnsi="Arial" w:cs="Arial"/>
          <w:sz w:val="24"/>
          <w:szCs w:val="24"/>
        </w:rPr>
        <w:t xml:space="preserve">El beneficio principal es tener un tabulador respecto de puestos directivos, y como se comentó en los párrafos anteriores eliminar la brecha salarial. </w:t>
      </w:r>
      <w:r w:rsidR="00BA432E">
        <w:rPr>
          <w:rFonts w:ascii="Arial" w:hAnsi="Arial" w:cs="Arial"/>
          <w:sz w:val="24"/>
          <w:szCs w:val="24"/>
        </w:rPr>
        <w:t>Adicionalmente otorgarles</w:t>
      </w:r>
      <w:r w:rsidR="00654A44">
        <w:rPr>
          <w:rFonts w:ascii="Arial" w:hAnsi="Arial" w:cs="Arial"/>
          <w:sz w:val="24"/>
          <w:szCs w:val="24"/>
        </w:rPr>
        <w:t xml:space="preserve"> prestaciones a dos puestos más pone en iguales condiciones a los servidores públicos, así como convertirse en aportadores del instituto. </w:t>
      </w:r>
    </w:p>
    <w:p w14:paraId="40580C5B" w14:textId="2294623D" w:rsidR="000C7F2E" w:rsidRDefault="000C7F2E" w:rsidP="000C7F2E">
      <w:pPr>
        <w:jc w:val="both"/>
        <w:rPr>
          <w:rFonts w:ascii="Arial" w:hAnsi="Arial" w:cs="Arial"/>
          <w:bCs/>
          <w:sz w:val="24"/>
          <w:szCs w:val="24"/>
        </w:rPr>
      </w:pPr>
      <w:r w:rsidRPr="000C7F2E">
        <w:rPr>
          <w:rFonts w:ascii="Arial" w:hAnsi="Arial" w:cs="Arial"/>
          <w:bCs/>
          <w:sz w:val="24"/>
          <w:szCs w:val="24"/>
        </w:rPr>
        <w:lastRenderedPageBreak/>
        <w:t>Para efecto de visualizar la propuesta</w:t>
      </w:r>
      <w:r w:rsidR="00E301F0">
        <w:rPr>
          <w:rFonts w:ascii="Arial" w:hAnsi="Arial" w:cs="Arial"/>
          <w:bCs/>
          <w:sz w:val="24"/>
          <w:szCs w:val="24"/>
        </w:rPr>
        <w:t xml:space="preserve"> de </w:t>
      </w:r>
      <w:r w:rsidR="00E301F0" w:rsidRPr="00154A31">
        <w:rPr>
          <w:rFonts w:ascii="Arial" w:hAnsi="Arial" w:cs="Arial"/>
          <w:bCs/>
          <w:i/>
          <w:iCs/>
          <w:sz w:val="24"/>
          <w:szCs w:val="24"/>
        </w:rPr>
        <w:t>homologación</w:t>
      </w:r>
      <w:r w:rsidR="00E301F0">
        <w:rPr>
          <w:rFonts w:ascii="Arial" w:hAnsi="Arial" w:cs="Arial"/>
          <w:bCs/>
          <w:sz w:val="24"/>
          <w:szCs w:val="24"/>
        </w:rPr>
        <w:t xml:space="preserve"> de las direcciones</w:t>
      </w:r>
      <w:r w:rsidRPr="000C7F2E">
        <w:rPr>
          <w:rFonts w:ascii="Arial" w:hAnsi="Arial" w:cs="Arial"/>
          <w:bCs/>
          <w:sz w:val="24"/>
          <w:szCs w:val="24"/>
        </w:rPr>
        <w:t xml:space="preserve"> anteriormente mencionada</w:t>
      </w:r>
      <w:r w:rsidR="00E301F0">
        <w:rPr>
          <w:rFonts w:ascii="Arial" w:hAnsi="Arial" w:cs="Arial"/>
          <w:bCs/>
          <w:sz w:val="24"/>
          <w:szCs w:val="24"/>
        </w:rPr>
        <w:t>s</w:t>
      </w:r>
      <w:r w:rsidRPr="000C7F2E">
        <w:rPr>
          <w:rFonts w:ascii="Arial" w:hAnsi="Arial" w:cs="Arial"/>
          <w:bCs/>
          <w:sz w:val="24"/>
          <w:szCs w:val="24"/>
        </w:rPr>
        <w:t xml:space="preserve"> se </w:t>
      </w:r>
      <w:r w:rsidR="00E301F0">
        <w:rPr>
          <w:rFonts w:ascii="Arial" w:hAnsi="Arial" w:cs="Arial"/>
          <w:bCs/>
          <w:sz w:val="24"/>
          <w:szCs w:val="24"/>
        </w:rPr>
        <w:t>anexa</w:t>
      </w:r>
      <w:r w:rsidRPr="000C7F2E">
        <w:rPr>
          <w:rFonts w:ascii="Arial" w:hAnsi="Arial" w:cs="Arial"/>
          <w:bCs/>
          <w:sz w:val="24"/>
          <w:szCs w:val="24"/>
        </w:rPr>
        <w:t xml:space="preserve"> el siguiente cuadro comparativo: </w:t>
      </w:r>
    </w:p>
    <w:p w14:paraId="31897EC0" w14:textId="77777777" w:rsidR="00E301F0" w:rsidRDefault="00E301F0" w:rsidP="000C7F2E">
      <w:pPr>
        <w:jc w:val="both"/>
        <w:rPr>
          <w:rFonts w:ascii="Arial" w:hAnsi="Arial" w:cs="Arial"/>
          <w:bCs/>
          <w:sz w:val="24"/>
          <w:szCs w:val="24"/>
        </w:rPr>
      </w:pPr>
    </w:p>
    <w:tbl>
      <w:tblPr>
        <w:tblStyle w:val="Tablaconcuadrcula"/>
        <w:tblpPr w:leftFromText="141" w:rightFromText="141" w:vertAnchor="text" w:horzAnchor="margin" w:tblpY="-9"/>
        <w:tblW w:w="9937" w:type="dxa"/>
        <w:tblLook w:val="04A0" w:firstRow="1" w:lastRow="0" w:firstColumn="1" w:lastColumn="0" w:noHBand="0" w:noVBand="1"/>
      </w:tblPr>
      <w:tblGrid>
        <w:gridCol w:w="1857"/>
        <w:gridCol w:w="1637"/>
        <w:gridCol w:w="1597"/>
        <w:gridCol w:w="1886"/>
        <w:gridCol w:w="1527"/>
        <w:gridCol w:w="1433"/>
      </w:tblGrid>
      <w:tr w:rsidR="00E301F0" w:rsidRPr="00C865F8" w14:paraId="751ACABD" w14:textId="77777777" w:rsidTr="00154A31">
        <w:trPr>
          <w:trHeight w:val="332"/>
        </w:trPr>
        <w:tc>
          <w:tcPr>
            <w:tcW w:w="5091" w:type="dxa"/>
            <w:gridSpan w:val="3"/>
            <w:shd w:val="clear" w:color="auto" w:fill="D9D9D9" w:themeFill="background1" w:themeFillShade="D9"/>
            <w:vAlign w:val="center"/>
          </w:tcPr>
          <w:p w14:paraId="5855D758" w14:textId="77777777" w:rsidR="00E301F0" w:rsidRPr="00C865F8" w:rsidRDefault="00E301F0" w:rsidP="00827C2F">
            <w:pPr>
              <w:tabs>
                <w:tab w:val="left" w:pos="3093"/>
              </w:tabs>
              <w:jc w:val="center"/>
              <w:rPr>
                <w:rFonts w:ascii="Arial" w:hAnsi="Arial" w:cs="Arial"/>
                <w:b/>
                <w:bCs/>
              </w:rPr>
            </w:pPr>
            <w:r w:rsidRPr="00C865F8">
              <w:rPr>
                <w:rFonts w:ascii="Arial" w:hAnsi="Arial" w:cs="Arial"/>
                <w:b/>
                <w:bCs/>
              </w:rPr>
              <w:t>PLANTILLA ACTUAL</w:t>
            </w:r>
          </w:p>
        </w:tc>
        <w:tc>
          <w:tcPr>
            <w:tcW w:w="4846" w:type="dxa"/>
            <w:gridSpan w:val="3"/>
            <w:shd w:val="clear" w:color="auto" w:fill="D9D9D9" w:themeFill="background1" w:themeFillShade="D9"/>
            <w:vAlign w:val="center"/>
          </w:tcPr>
          <w:p w14:paraId="703324E1" w14:textId="77777777" w:rsidR="00E301F0" w:rsidRPr="00C865F8" w:rsidRDefault="00E301F0" w:rsidP="00827C2F">
            <w:pPr>
              <w:tabs>
                <w:tab w:val="left" w:pos="3093"/>
              </w:tabs>
              <w:jc w:val="center"/>
              <w:rPr>
                <w:rFonts w:ascii="Arial" w:hAnsi="Arial" w:cs="Arial"/>
              </w:rPr>
            </w:pPr>
            <w:r w:rsidRPr="00C865F8">
              <w:rPr>
                <w:rFonts w:ascii="Arial" w:hAnsi="Arial" w:cs="Arial"/>
                <w:b/>
                <w:bCs/>
              </w:rPr>
              <w:t>PROPUESTA DE REGLAMENTO</w:t>
            </w:r>
          </w:p>
        </w:tc>
      </w:tr>
      <w:tr w:rsidR="00E301F0" w:rsidRPr="00C865F8" w14:paraId="5E127B77" w14:textId="77777777" w:rsidTr="00154A31">
        <w:trPr>
          <w:trHeight w:val="347"/>
        </w:trPr>
        <w:tc>
          <w:tcPr>
            <w:tcW w:w="1857" w:type="dxa"/>
            <w:shd w:val="clear" w:color="auto" w:fill="F2F2F2" w:themeFill="background1" w:themeFillShade="F2"/>
            <w:vAlign w:val="center"/>
          </w:tcPr>
          <w:p w14:paraId="1FE0B05E" w14:textId="77777777" w:rsidR="00E301F0" w:rsidRPr="00C865F8" w:rsidRDefault="00E301F0" w:rsidP="00827C2F">
            <w:pPr>
              <w:tabs>
                <w:tab w:val="left" w:pos="3093"/>
              </w:tabs>
              <w:jc w:val="center"/>
              <w:rPr>
                <w:rFonts w:ascii="Arial" w:hAnsi="Arial" w:cs="Arial"/>
                <w:b/>
                <w:bCs/>
              </w:rPr>
            </w:pPr>
            <w:r w:rsidRPr="00C865F8">
              <w:rPr>
                <w:rFonts w:ascii="Arial" w:hAnsi="Arial" w:cs="Arial"/>
                <w:b/>
                <w:bCs/>
              </w:rPr>
              <w:t>Puesto</w:t>
            </w:r>
          </w:p>
        </w:tc>
        <w:tc>
          <w:tcPr>
            <w:tcW w:w="1637" w:type="dxa"/>
            <w:shd w:val="clear" w:color="auto" w:fill="F2F2F2" w:themeFill="background1" w:themeFillShade="F2"/>
            <w:vAlign w:val="center"/>
          </w:tcPr>
          <w:p w14:paraId="09DADBCC" w14:textId="77777777" w:rsidR="00E301F0" w:rsidRPr="00C865F8" w:rsidRDefault="00E301F0" w:rsidP="00827C2F">
            <w:pPr>
              <w:tabs>
                <w:tab w:val="left" w:pos="3093"/>
              </w:tabs>
              <w:jc w:val="center"/>
              <w:rPr>
                <w:rFonts w:ascii="Arial" w:hAnsi="Arial" w:cs="Arial"/>
                <w:b/>
                <w:bCs/>
              </w:rPr>
            </w:pPr>
            <w:r w:rsidRPr="00C865F8">
              <w:rPr>
                <w:rFonts w:ascii="Arial" w:hAnsi="Arial" w:cs="Arial"/>
                <w:b/>
                <w:bCs/>
              </w:rPr>
              <w:t>Sueldo Bruto</w:t>
            </w:r>
          </w:p>
        </w:tc>
        <w:tc>
          <w:tcPr>
            <w:tcW w:w="1597" w:type="dxa"/>
            <w:shd w:val="clear" w:color="auto" w:fill="F2F2F2" w:themeFill="background1" w:themeFillShade="F2"/>
            <w:vAlign w:val="center"/>
          </w:tcPr>
          <w:p w14:paraId="2C2EC5D3" w14:textId="77777777" w:rsidR="00E301F0" w:rsidRPr="00C865F8" w:rsidRDefault="00E301F0" w:rsidP="00827C2F">
            <w:pPr>
              <w:tabs>
                <w:tab w:val="left" w:pos="3093"/>
              </w:tabs>
              <w:jc w:val="center"/>
              <w:rPr>
                <w:rFonts w:ascii="Arial" w:hAnsi="Arial" w:cs="Arial"/>
                <w:b/>
                <w:bCs/>
              </w:rPr>
            </w:pPr>
            <w:r w:rsidRPr="00C865F8">
              <w:rPr>
                <w:rFonts w:ascii="Arial" w:hAnsi="Arial" w:cs="Arial"/>
                <w:b/>
                <w:bCs/>
              </w:rPr>
              <w:t>Sueldo Neto</w:t>
            </w:r>
          </w:p>
        </w:tc>
        <w:tc>
          <w:tcPr>
            <w:tcW w:w="1886" w:type="dxa"/>
            <w:shd w:val="clear" w:color="auto" w:fill="F2F2F2" w:themeFill="background1" w:themeFillShade="F2"/>
            <w:vAlign w:val="center"/>
          </w:tcPr>
          <w:p w14:paraId="196809A5" w14:textId="77777777" w:rsidR="00E301F0" w:rsidRPr="00C865F8" w:rsidRDefault="00E301F0" w:rsidP="00827C2F">
            <w:pPr>
              <w:tabs>
                <w:tab w:val="left" w:pos="3093"/>
              </w:tabs>
              <w:jc w:val="center"/>
              <w:rPr>
                <w:rFonts w:ascii="Arial" w:hAnsi="Arial" w:cs="Arial"/>
                <w:b/>
                <w:bCs/>
              </w:rPr>
            </w:pPr>
            <w:r w:rsidRPr="00C865F8">
              <w:rPr>
                <w:rFonts w:ascii="Arial" w:hAnsi="Arial" w:cs="Arial"/>
                <w:b/>
                <w:bCs/>
              </w:rPr>
              <w:t>Puesto</w:t>
            </w:r>
          </w:p>
        </w:tc>
        <w:tc>
          <w:tcPr>
            <w:tcW w:w="1527" w:type="dxa"/>
            <w:shd w:val="clear" w:color="auto" w:fill="F2F2F2" w:themeFill="background1" w:themeFillShade="F2"/>
            <w:vAlign w:val="center"/>
          </w:tcPr>
          <w:p w14:paraId="4746B830" w14:textId="77777777" w:rsidR="00E301F0" w:rsidRPr="00C865F8" w:rsidRDefault="00E301F0" w:rsidP="00827C2F">
            <w:pPr>
              <w:tabs>
                <w:tab w:val="left" w:pos="3093"/>
              </w:tabs>
              <w:jc w:val="center"/>
              <w:rPr>
                <w:rFonts w:ascii="Arial" w:hAnsi="Arial" w:cs="Arial"/>
                <w:b/>
                <w:bCs/>
              </w:rPr>
            </w:pPr>
            <w:r w:rsidRPr="00C865F8">
              <w:rPr>
                <w:rFonts w:ascii="Arial" w:hAnsi="Arial" w:cs="Arial"/>
                <w:b/>
                <w:bCs/>
              </w:rPr>
              <w:t>Sueldo Bruto</w:t>
            </w:r>
          </w:p>
        </w:tc>
        <w:tc>
          <w:tcPr>
            <w:tcW w:w="1433" w:type="dxa"/>
            <w:shd w:val="clear" w:color="auto" w:fill="F2F2F2" w:themeFill="background1" w:themeFillShade="F2"/>
            <w:vAlign w:val="center"/>
          </w:tcPr>
          <w:p w14:paraId="7F14DA95" w14:textId="77777777" w:rsidR="00E301F0" w:rsidRPr="00C865F8" w:rsidRDefault="00E301F0" w:rsidP="00827C2F">
            <w:pPr>
              <w:tabs>
                <w:tab w:val="left" w:pos="3093"/>
              </w:tabs>
              <w:jc w:val="center"/>
              <w:rPr>
                <w:rFonts w:ascii="Arial" w:hAnsi="Arial" w:cs="Arial"/>
                <w:b/>
                <w:bCs/>
              </w:rPr>
            </w:pPr>
            <w:r w:rsidRPr="00C865F8">
              <w:rPr>
                <w:rFonts w:ascii="Arial" w:hAnsi="Arial" w:cs="Arial"/>
                <w:b/>
                <w:bCs/>
              </w:rPr>
              <w:t>Sueldo Neto</w:t>
            </w:r>
          </w:p>
        </w:tc>
      </w:tr>
      <w:tr w:rsidR="00E301F0" w:rsidRPr="00C865F8" w14:paraId="02B1FBFE" w14:textId="77777777" w:rsidTr="00154A31">
        <w:trPr>
          <w:trHeight w:val="332"/>
        </w:trPr>
        <w:tc>
          <w:tcPr>
            <w:tcW w:w="1857" w:type="dxa"/>
            <w:vAlign w:val="center"/>
          </w:tcPr>
          <w:p w14:paraId="06176F75"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General Jurídico.</w:t>
            </w:r>
          </w:p>
        </w:tc>
        <w:tc>
          <w:tcPr>
            <w:tcW w:w="1637" w:type="dxa"/>
            <w:vAlign w:val="center"/>
          </w:tcPr>
          <w:p w14:paraId="4C1B8C35"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597" w:type="dxa"/>
            <w:vAlign w:val="center"/>
          </w:tcPr>
          <w:p w14:paraId="57DEA9A4"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c>
          <w:tcPr>
            <w:tcW w:w="1886" w:type="dxa"/>
            <w:vAlign w:val="center"/>
          </w:tcPr>
          <w:p w14:paraId="141ED0FF" w14:textId="77777777" w:rsidR="00E301F0" w:rsidRPr="00C865F8" w:rsidRDefault="00E301F0" w:rsidP="00827C2F">
            <w:pPr>
              <w:tabs>
                <w:tab w:val="left" w:pos="3093"/>
              </w:tabs>
              <w:jc w:val="center"/>
              <w:rPr>
                <w:rFonts w:ascii="Arial" w:hAnsi="Arial" w:cs="Arial"/>
              </w:rPr>
            </w:pPr>
            <w:r w:rsidRPr="00C865F8">
              <w:rPr>
                <w:rFonts w:ascii="Arial" w:hAnsi="Arial" w:cs="Arial"/>
              </w:rPr>
              <w:t>Abogado General.</w:t>
            </w:r>
          </w:p>
        </w:tc>
        <w:tc>
          <w:tcPr>
            <w:tcW w:w="1527" w:type="dxa"/>
            <w:vAlign w:val="center"/>
          </w:tcPr>
          <w:p w14:paraId="7D4486FF"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433" w:type="dxa"/>
            <w:vAlign w:val="center"/>
          </w:tcPr>
          <w:p w14:paraId="48FBE5F6"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r>
      <w:tr w:rsidR="00E301F0" w:rsidRPr="00C865F8" w14:paraId="0A18E337" w14:textId="77777777" w:rsidTr="00154A31">
        <w:trPr>
          <w:trHeight w:val="332"/>
        </w:trPr>
        <w:tc>
          <w:tcPr>
            <w:tcW w:w="1857" w:type="dxa"/>
            <w:vAlign w:val="center"/>
          </w:tcPr>
          <w:p w14:paraId="011CE8CA"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General de Administración.</w:t>
            </w:r>
          </w:p>
        </w:tc>
        <w:tc>
          <w:tcPr>
            <w:tcW w:w="1637" w:type="dxa"/>
            <w:vAlign w:val="center"/>
          </w:tcPr>
          <w:p w14:paraId="4D1B32A0"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597" w:type="dxa"/>
            <w:vAlign w:val="center"/>
          </w:tcPr>
          <w:p w14:paraId="2771F92A"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c>
          <w:tcPr>
            <w:tcW w:w="1886" w:type="dxa"/>
            <w:vAlign w:val="center"/>
          </w:tcPr>
          <w:p w14:paraId="5A708D35"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de Administración.</w:t>
            </w:r>
          </w:p>
        </w:tc>
        <w:tc>
          <w:tcPr>
            <w:tcW w:w="1527" w:type="dxa"/>
            <w:vAlign w:val="center"/>
          </w:tcPr>
          <w:p w14:paraId="2AE61900"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433" w:type="dxa"/>
            <w:vAlign w:val="center"/>
          </w:tcPr>
          <w:p w14:paraId="5859DA4F"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r>
      <w:tr w:rsidR="00E301F0" w:rsidRPr="00C865F8" w14:paraId="6BB21BC5" w14:textId="77777777" w:rsidTr="00154A31">
        <w:trPr>
          <w:trHeight w:val="332"/>
        </w:trPr>
        <w:tc>
          <w:tcPr>
            <w:tcW w:w="1857" w:type="dxa"/>
            <w:vAlign w:val="center"/>
          </w:tcPr>
          <w:p w14:paraId="77D178A3"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General de Prestaciones.</w:t>
            </w:r>
          </w:p>
        </w:tc>
        <w:tc>
          <w:tcPr>
            <w:tcW w:w="1637" w:type="dxa"/>
            <w:vAlign w:val="center"/>
          </w:tcPr>
          <w:p w14:paraId="3A0E063E" w14:textId="77777777" w:rsidR="00E301F0" w:rsidRPr="00C865F8" w:rsidRDefault="00E301F0" w:rsidP="00827C2F">
            <w:pPr>
              <w:tabs>
                <w:tab w:val="left" w:pos="3093"/>
              </w:tabs>
              <w:jc w:val="center"/>
              <w:rPr>
                <w:rFonts w:ascii="Arial" w:hAnsi="Arial" w:cs="Arial"/>
              </w:rPr>
            </w:pPr>
            <w:r w:rsidRPr="00C865F8">
              <w:rPr>
                <w:rFonts w:ascii="Arial" w:hAnsi="Arial" w:cs="Arial"/>
              </w:rPr>
              <w:t>$58,645.00</w:t>
            </w:r>
          </w:p>
        </w:tc>
        <w:tc>
          <w:tcPr>
            <w:tcW w:w="1597" w:type="dxa"/>
            <w:vAlign w:val="center"/>
          </w:tcPr>
          <w:p w14:paraId="47124A45" w14:textId="77777777" w:rsidR="00E301F0" w:rsidRPr="00C865F8" w:rsidRDefault="00E301F0" w:rsidP="00827C2F">
            <w:pPr>
              <w:tabs>
                <w:tab w:val="left" w:pos="3093"/>
              </w:tabs>
              <w:jc w:val="center"/>
              <w:rPr>
                <w:rFonts w:ascii="Arial" w:hAnsi="Arial" w:cs="Arial"/>
              </w:rPr>
            </w:pPr>
            <w:r w:rsidRPr="00C865F8">
              <w:rPr>
                <w:rFonts w:ascii="Arial" w:hAnsi="Arial" w:cs="Arial"/>
              </w:rPr>
              <w:t>$38,052.08</w:t>
            </w:r>
          </w:p>
        </w:tc>
        <w:tc>
          <w:tcPr>
            <w:tcW w:w="1886" w:type="dxa"/>
            <w:vAlign w:val="center"/>
          </w:tcPr>
          <w:p w14:paraId="23B8196D"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de Atención a Afiliados, Pensionados y Beneficiarios.</w:t>
            </w:r>
          </w:p>
        </w:tc>
        <w:tc>
          <w:tcPr>
            <w:tcW w:w="1527" w:type="dxa"/>
            <w:vAlign w:val="center"/>
          </w:tcPr>
          <w:p w14:paraId="68B434B3"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433" w:type="dxa"/>
            <w:vAlign w:val="center"/>
          </w:tcPr>
          <w:p w14:paraId="6456A984"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r>
      <w:tr w:rsidR="00E301F0" w:rsidRPr="00C865F8" w14:paraId="38ADA9BF" w14:textId="77777777" w:rsidTr="00154A31">
        <w:trPr>
          <w:trHeight w:val="332"/>
        </w:trPr>
        <w:tc>
          <w:tcPr>
            <w:tcW w:w="1857" w:type="dxa"/>
            <w:vAlign w:val="center"/>
          </w:tcPr>
          <w:p w14:paraId="2AE04735"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General de Finanzas.</w:t>
            </w:r>
          </w:p>
        </w:tc>
        <w:tc>
          <w:tcPr>
            <w:tcW w:w="1637" w:type="dxa"/>
            <w:vAlign w:val="center"/>
          </w:tcPr>
          <w:p w14:paraId="791892CB" w14:textId="77777777" w:rsidR="00E301F0" w:rsidRPr="00C865F8" w:rsidRDefault="00E301F0" w:rsidP="00827C2F">
            <w:pPr>
              <w:tabs>
                <w:tab w:val="left" w:pos="3093"/>
              </w:tabs>
              <w:jc w:val="center"/>
              <w:rPr>
                <w:rFonts w:ascii="Arial" w:hAnsi="Arial" w:cs="Arial"/>
              </w:rPr>
            </w:pPr>
            <w:r w:rsidRPr="00C865F8">
              <w:rPr>
                <w:rFonts w:ascii="Arial" w:hAnsi="Arial" w:cs="Arial"/>
              </w:rPr>
              <w:t>$58,645.00</w:t>
            </w:r>
          </w:p>
        </w:tc>
        <w:tc>
          <w:tcPr>
            <w:tcW w:w="1597" w:type="dxa"/>
            <w:vAlign w:val="center"/>
          </w:tcPr>
          <w:p w14:paraId="3EC46E15" w14:textId="77777777" w:rsidR="00E301F0" w:rsidRPr="00C865F8" w:rsidRDefault="00E301F0" w:rsidP="00827C2F">
            <w:pPr>
              <w:tabs>
                <w:tab w:val="left" w:pos="3093"/>
              </w:tabs>
              <w:jc w:val="center"/>
              <w:rPr>
                <w:rFonts w:ascii="Arial" w:hAnsi="Arial" w:cs="Arial"/>
              </w:rPr>
            </w:pPr>
            <w:r w:rsidRPr="00C865F8">
              <w:rPr>
                <w:rFonts w:ascii="Arial" w:hAnsi="Arial" w:cs="Arial"/>
              </w:rPr>
              <w:t>$38,052.08</w:t>
            </w:r>
          </w:p>
        </w:tc>
        <w:tc>
          <w:tcPr>
            <w:tcW w:w="1886" w:type="dxa"/>
            <w:vAlign w:val="center"/>
          </w:tcPr>
          <w:p w14:paraId="10BFEAAE"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de Finanzas.</w:t>
            </w:r>
          </w:p>
        </w:tc>
        <w:tc>
          <w:tcPr>
            <w:tcW w:w="1527" w:type="dxa"/>
            <w:vAlign w:val="center"/>
          </w:tcPr>
          <w:p w14:paraId="2D9AE0E4"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433" w:type="dxa"/>
            <w:vAlign w:val="center"/>
          </w:tcPr>
          <w:p w14:paraId="29B24FD7"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r>
      <w:tr w:rsidR="00E301F0" w:rsidRPr="00C865F8" w14:paraId="7C4BCF2F" w14:textId="77777777" w:rsidTr="00154A31">
        <w:trPr>
          <w:trHeight w:val="332"/>
        </w:trPr>
        <w:tc>
          <w:tcPr>
            <w:tcW w:w="1857" w:type="dxa"/>
            <w:vAlign w:val="center"/>
          </w:tcPr>
          <w:p w14:paraId="7955D887"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General de Informática.</w:t>
            </w:r>
          </w:p>
        </w:tc>
        <w:tc>
          <w:tcPr>
            <w:tcW w:w="1637" w:type="dxa"/>
            <w:vAlign w:val="center"/>
          </w:tcPr>
          <w:p w14:paraId="6D60B292"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597" w:type="dxa"/>
            <w:vAlign w:val="center"/>
          </w:tcPr>
          <w:p w14:paraId="31AF6AE0"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c>
          <w:tcPr>
            <w:tcW w:w="1886" w:type="dxa"/>
            <w:vAlign w:val="center"/>
          </w:tcPr>
          <w:p w14:paraId="31A3D324"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de Informática.</w:t>
            </w:r>
          </w:p>
        </w:tc>
        <w:tc>
          <w:tcPr>
            <w:tcW w:w="1527" w:type="dxa"/>
            <w:vAlign w:val="center"/>
          </w:tcPr>
          <w:p w14:paraId="74E7D5A8"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433" w:type="dxa"/>
            <w:vAlign w:val="center"/>
          </w:tcPr>
          <w:p w14:paraId="7CFC761A"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r>
      <w:tr w:rsidR="00E301F0" w:rsidRPr="00C865F8" w14:paraId="41707D3E" w14:textId="77777777" w:rsidTr="00154A31">
        <w:trPr>
          <w:trHeight w:val="332"/>
        </w:trPr>
        <w:tc>
          <w:tcPr>
            <w:tcW w:w="1857" w:type="dxa"/>
            <w:vAlign w:val="center"/>
          </w:tcPr>
          <w:p w14:paraId="03583524"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General de Promoción de Vivienda.</w:t>
            </w:r>
          </w:p>
        </w:tc>
        <w:tc>
          <w:tcPr>
            <w:tcW w:w="1637" w:type="dxa"/>
            <w:vAlign w:val="center"/>
          </w:tcPr>
          <w:p w14:paraId="69FB4B51" w14:textId="77777777" w:rsidR="00E301F0" w:rsidRPr="00C865F8" w:rsidRDefault="00E301F0" w:rsidP="00827C2F">
            <w:pPr>
              <w:tabs>
                <w:tab w:val="left" w:pos="3093"/>
              </w:tabs>
              <w:jc w:val="center"/>
              <w:rPr>
                <w:rFonts w:ascii="Arial" w:hAnsi="Arial" w:cs="Arial"/>
              </w:rPr>
            </w:pPr>
            <w:r w:rsidRPr="00C865F8">
              <w:rPr>
                <w:rFonts w:ascii="Arial" w:hAnsi="Arial" w:cs="Arial"/>
              </w:rPr>
              <w:t>$58,645.00</w:t>
            </w:r>
          </w:p>
        </w:tc>
        <w:tc>
          <w:tcPr>
            <w:tcW w:w="1597" w:type="dxa"/>
            <w:vAlign w:val="center"/>
          </w:tcPr>
          <w:p w14:paraId="688546D4" w14:textId="77777777" w:rsidR="00E301F0" w:rsidRPr="00C865F8" w:rsidRDefault="00E301F0" w:rsidP="00827C2F">
            <w:pPr>
              <w:tabs>
                <w:tab w:val="left" w:pos="3093"/>
              </w:tabs>
              <w:jc w:val="center"/>
              <w:rPr>
                <w:rFonts w:ascii="Arial" w:hAnsi="Arial" w:cs="Arial"/>
              </w:rPr>
            </w:pPr>
            <w:r w:rsidRPr="00C865F8">
              <w:rPr>
                <w:rFonts w:ascii="Arial" w:hAnsi="Arial" w:cs="Arial"/>
              </w:rPr>
              <w:t>$38,052.08</w:t>
            </w:r>
          </w:p>
        </w:tc>
        <w:tc>
          <w:tcPr>
            <w:tcW w:w="1886" w:type="dxa"/>
            <w:vAlign w:val="center"/>
          </w:tcPr>
          <w:p w14:paraId="5BFB1C23"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de Gestión y Protección del Patrimonio Inmobiliario.</w:t>
            </w:r>
          </w:p>
        </w:tc>
        <w:tc>
          <w:tcPr>
            <w:tcW w:w="1527" w:type="dxa"/>
            <w:vAlign w:val="center"/>
          </w:tcPr>
          <w:p w14:paraId="4B7364D9"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433" w:type="dxa"/>
            <w:vAlign w:val="center"/>
          </w:tcPr>
          <w:p w14:paraId="24F0B585"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r>
      <w:tr w:rsidR="00E301F0" w:rsidRPr="00C865F8" w14:paraId="530EAF1E" w14:textId="77777777" w:rsidTr="00154A31">
        <w:trPr>
          <w:trHeight w:val="332"/>
        </w:trPr>
        <w:tc>
          <w:tcPr>
            <w:tcW w:w="1857" w:type="dxa"/>
            <w:vAlign w:val="center"/>
          </w:tcPr>
          <w:p w14:paraId="138189C5"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General de Servicios Médicos.</w:t>
            </w:r>
          </w:p>
        </w:tc>
        <w:tc>
          <w:tcPr>
            <w:tcW w:w="1637" w:type="dxa"/>
            <w:vAlign w:val="center"/>
          </w:tcPr>
          <w:p w14:paraId="6B8F00AA" w14:textId="77777777" w:rsidR="00E301F0" w:rsidRPr="00C865F8" w:rsidRDefault="00E301F0" w:rsidP="00827C2F">
            <w:pPr>
              <w:tabs>
                <w:tab w:val="left" w:pos="3093"/>
              </w:tabs>
              <w:jc w:val="center"/>
              <w:rPr>
                <w:rFonts w:ascii="Arial" w:hAnsi="Arial" w:cs="Arial"/>
              </w:rPr>
            </w:pPr>
            <w:r w:rsidRPr="00C865F8">
              <w:rPr>
                <w:rFonts w:ascii="Arial" w:hAnsi="Arial" w:cs="Arial"/>
              </w:rPr>
              <w:t>$73,783.00</w:t>
            </w:r>
          </w:p>
        </w:tc>
        <w:tc>
          <w:tcPr>
            <w:tcW w:w="1597" w:type="dxa"/>
            <w:vAlign w:val="center"/>
          </w:tcPr>
          <w:p w14:paraId="68195924" w14:textId="77777777" w:rsidR="00E301F0" w:rsidRPr="00C865F8" w:rsidRDefault="00E301F0" w:rsidP="00827C2F">
            <w:pPr>
              <w:tabs>
                <w:tab w:val="left" w:pos="3093"/>
              </w:tabs>
              <w:jc w:val="center"/>
              <w:rPr>
                <w:rFonts w:ascii="Arial" w:hAnsi="Arial" w:cs="Arial"/>
              </w:rPr>
            </w:pPr>
            <w:r w:rsidRPr="00C865F8">
              <w:rPr>
                <w:rFonts w:ascii="Arial" w:hAnsi="Arial" w:cs="Arial"/>
              </w:rPr>
              <w:t>$ 46,661.67</w:t>
            </w:r>
          </w:p>
        </w:tc>
        <w:tc>
          <w:tcPr>
            <w:tcW w:w="1886" w:type="dxa"/>
            <w:vAlign w:val="center"/>
          </w:tcPr>
          <w:p w14:paraId="2F7D9CC3"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de Servicios Médicos.</w:t>
            </w:r>
          </w:p>
        </w:tc>
        <w:tc>
          <w:tcPr>
            <w:tcW w:w="1527" w:type="dxa"/>
            <w:vAlign w:val="center"/>
          </w:tcPr>
          <w:p w14:paraId="00F3A0C9"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433" w:type="dxa"/>
            <w:vAlign w:val="center"/>
          </w:tcPr>
          <w:p w14:paraId="1D6BFE7C"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r>
      <w:tr w:rsidR="00E301F0" w:rsidRPr="00C865F8" w14:paraId="5DE4671C" w14:textId="77777777" w:rsidTr="006A1821">
        <w:trPr>
          <w:trHeight w:val="60"/>
        </w:trPr>
        <w:tc>
          <w:tcPr>
            <w:tcW w:w="1857" w:type="dxa"/>
            <w:vAlign w:val="center"/>
          </w:tcPr>
          <w:p w14:paraId="7560EF98"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General de Contraloría Interna.</w:t>
            </w:r>
          </w:p>
        </w:tc>
        <w:tc>
          <w:tcPr>
            <w:tcW w:w="1637" w:type="dxa"/>
            <w:vAlign w:val="center"/>
          </w:tcPr>
          <w:p w14:paraId="22D48CB6" w14:textId="77777777" w:rsidR="00E301F0" w:rsidRPr="00C865F8" w:rsidRDefault="00E301F0" w:rsidP="00827C2F">
            <w:pPr>
              <w:tabs>
                <w:tab w:val="left" w:pos="3093"/>
              </w:tabs>
              <w:jc w:val="center"/>
              <w:rPr>
                <w:rFonts w:ascii="Arial" w:hAnsi="Arial" w:cs="Arial"/>
              </w:rPr>
            </w:pPr>
            <w:r w:rsidRPr="00C865F8">
              <w:rPr>
                <w:rFonts w:ascii="Arial" w:hAnsi="Arial" w:cs="Arial"/>
              </w:rPr>
              <w:t>$ 58,645.00</w:t>
            </w:r>
          </w:p>
        </w:tc>
        <w:tc>
          <w:tcPr>
            <w:tcW w:w="1597" w:type="dxa"/>
            <w:vAlign w:val="center"/>
          </w:tcPr>
          <w:p w14:paraId="4F26EA92" w14:textId="77777777" w:rsidR="00E301F0" w:rsidRPr="00C865F8" w:rsidRDefault="00E301F0" w:rsidP="00827C2F">
            <w:pPr>
              <w:tabs>
                <w:tab w:val="left" w:pos="3093"/>
              </w:tabs>
              <w:jc w:val="center"/>
              <w:rPr>
                <w:rFonts w:ascii="Arial" w:hAnsi="Arial" w:cs="Arial"/>
              </w:rPr>
            </w:pPr>
            <w:r w:rsidRPr="00C865F8">
              <w:rPr>
                <w:rFonts w:ascii="Arial" w:hAnsi="Arial" w:cs="Arial"/>
              </w:rPr>
              <w:t>$38,052.08</w:t>
            </w:r>
          </w:p>
        </w:tc>
        <w:tc>
          <w:tcPr>
            <w:tcW w:w="1886" w:type="dxa"/>
            <w:vAlign w:val="center"/>
          </w:tcPr>
          <w:p w14:paraId="2301D5AE" w14:textId="77777777" w:rsidR="00E301F0" w:rsidRPr="00C865F8" w:rsidRDefault="00E301F0" w:rsidP="00827C2F">
            <w:pPr>
              <w:tabs>
                <w:tab w:val="left" w:pos="3093"/>
              </w:tabs>
              <w:jc w:val="center"/>
              <w:rPr>
                <w:rFonts w:ascii="Arial" w:hAnsi="Arial" w:cs="Arial"/>
              </w:rPr>
            </w:pPr>
            <w:r w:rsidRPr="00C865F8">
              <w:rPr>
                <w:rFonts w:ascii="Arial" w:hAnsi="Arial" w:cs="Arial"/>
              </w:rPr>
              <w:t>Órgano Interno de Control.</w:t>
            </w:r>
          </w:p>
        </w:tc>
        <w:tc>
          <w:tcPr>
            <w:tcW w:w="1527" w:type="dxa"/>
            <w:vAlign w:val="center"/>
          </w:tcPr>
          <w:p w14:paraId="186F4A9B" w14:textId="77777777" w:rsidR="00E301F0" w:rsidRPr="00C865F8" w:rsidRDefault="00E301F0" w:rsidP="00827C2F">
            <w:pPr>
              <w:tabs>
                <w:tab w:val="left" w:pos="3093"/>
              </w:tabs>
              <w:jc w:val="center"/>
              <w:rPr>
                <w:rFonts w:ascii="Arial" w:hAnsi="Arial" w:cs="Arial"/>
              </w:rPr>
            </w:pPr>
            <w:r w:rsidRPr="00C865F8">
              <w:rPr>
                <w:rFonts w:ascii="Arial" w:hAnsi="Arial" w:cs="Arial"/>
              </w:rPr>
              <w:t>$66,873.00</w:t>
            </w:r>
          </w:p>
        </w:tc>
        <w:tc>
          <w:tcPr>
            <w:tcW w:w="1433" w:type="dxa"/>
            <w:vAlign w:val="center"/>
          </w:tcPr>
          <w:p w14:paraId="008DE059" w14:textId="77777777" w:rsidR="00E301F0" w:rsidRPr="00C865F8" w:rsidRDefault="00E301F0" w:rsidP="00827C2F">
            <w:pPr>
              <w:tabs>
                <w:tab w:val="left" w:pos="3093"/>
              </w:tabs>
              <w:jc w:val="center"/>
              <w:rPr>
                <w:rFonts w:ascii="Arial" w:hAnsi="Arial" w:cs="Arial"/>
              </w:rPr>
            </w:pPr>
            <w:r w:rsidRPr="00C865F8">
              <w:rPr>
                <w:rFonts w:ascii="Arial" w:hAnsi="Arial" w:cs="Arial"/>
              </w:rPr>
              <w:t>$42,748.73</w:t>
            </w:r>
          </w:p>
        </w:tc>
      </w:tr>
      <w:tr w:rsidR="00E301F0" w:rsidRPr="00C865F8" w14:paraId="4FBD67D7" w14:textId="77777777" w:rsidTr="006A1821">
        <w:trPr>
          <w:trHeight w:val="60"/>
        </w:trPr>
        <w:tc>
          <w:tcPr>
            <w:tcW w:w="1857" w:type="dxa"/>
            <w:vAlign w:val="center"/>
          </w:tcPr>
          <w:p w14:paraId="1E548088" w14:textId="77777777" w:rsidR="00E301F0" w:rsidRPr="00C865F8" w:rsidRDefault="00E301F0" w:rsidP="00827C2F">
            <w:pPr>
              <w:tabs>
                <w:tab w:val="left" w:pos="3093"/>
              </w:tabs>
              <w:jc w:val="center"/>
              <w:rPr>
                <w:rFonts w:ascii="Arial" w:hAnsi="Arial" w:cs="Arial"/>
              </w:rPr>
            </w:pPr>
          </w:p>
        </w:tc>
        <w:tc>
          <w:tcPr>
            <w:tcW w:w="1637" w:type="dxa"/>
            <w:vAlign w:val="center"/>
          </w:tcPr>
          <w:p w14:paraId="2AD39ACE" w14:textId="77777777" w:rsidR="00E301F0" w:rsidRPr="00C865F8" w:rsidRDefault="00E301F0" w:rsidP="00827C2F">
            <w:pPr>
              <w:tabs>
                <w:tab w:val="left" w:pos="3093"/>
              </w:tabs>
              <w:jc w:val="center"/>
              <w:rPr>
                <w:rFonts w:ascii="Arial" w:hAnsi="Arial" w:cs="Arial"/>
              </w:rPr>
            </w:pPr>
          </w:p>
        </w:tc>
        <w:tc>
          <w:tcPr>
            <w:tcW w:w="1597" w:type="dxa"/>
            <w:vAlign w:val="center"/>
          </w:tcPr>
          <w:p w14:paraId="12E6898F" w14:textId="77777777" w:rsidR="00E301F0" w:rsidRPr="00C865F8" w:rsidRDefault="00E301F0" w:rsidP="00827C2F">
            <w:pPr>
              <w:tabs>
                <w:tab w:val="left" w:pos="3093"/>
              </w:tabs>
              <w:jc w:val="center"/>
              <w:rPr>
                <w:rFonts w:ascii="Arial" w:hAnsi="Arial" w:cs="Arial"/>
              </w:rPr>
            </w:pPr>
          </w:p>
        </w:tc>
        <w:tc>
          <w:tcPr>
            <w:tcW w:w="1886" w:type="dxa"/>
            <w:vAlign w:val="center"/>
          </w:tcPr>
          <w:p w14:paraId="3137F9AF" w14:textId="77777777" w:rsidR="00E301F0" w:rsidRPr="00C865F8" w:rsidRDefault="00E301F0" w:rsidP="00827C2F">
            <w:pPr>
              <w:tabs>
                <w:tab w:val="left" w:pos="3093"/>
              </w:tabs>
              <w:jc w:val="center"/>
              <w:rPr>
                <w:rFonts w:ascii="Arial" w:hAnsi="Arial" w:cs="Arial"/>
              </w:rPr>
            </w:pPr>
            <w:r w:rsidRPr="00C865F8">
              <w:rPr>
                <w:rFonts w:ascii="Arial" w:hAnsi="Arial" w:cs="Arial"/>
              </w:rPr>
              <w:t>Dirección de Fideicomisos.</w:t>
            </w:r>
          </w:p>
        </w:tc>
        <w:tc>
          <w:tcPr>
            <w:tcW w:w="1527" w:type="dxa"/>
            <w:vAlign w:val="center"/>
          </w:tcPr>
          <w:p w14:paraId="4B727408" w14:textId="77777777" w:rsidR="00E301F0" w:rsidRPr="00C865F8" w:rsidRDefault="00E301F0" w:rsidP="00827C2F">
            <w:pPr>
              <w:tabs>
                <w:tab w:val="left" w:pos="3093"/>
              </w:tabs>
              <w:jc w:val="center"/>
              <w:rPr>
                <w:rFonts w:ascii="Arial" w:hAnsi="Arial" w:cs="Arial"/>
              </w:rPr>
            </w:pPr>
            <w:r w:rsidRPr="00C865F8">
              <w:rPr>
                <w:rFonts w:ascii="Arial" w:hAnsi="Arial" w:cs="Arial"/>
              </w:rPr>
              <w:t>$50,390.00</w:t>
            </w:r>
          </w:p>
        </w:tc>
        <w:tc>
          <w:tcPr>
            <w:tcW w:w="1433" w:type="dxa"/>
            <w:vAlign w:val="center"/>
          </w:tcPr>
          <w:p w14:paraId="00DA3F5C" w14:textId="77777777" w:rsidR="00E301F0" w:rsidRPr="00C865F8" w:rsidRDefault="00E301F0" w:rsidP="00827C2F">
            <w:pPr>
              <w:tabs>
                <w:tab w:val="left" w:pos="3093"/>
              </w:tabs>
              <w:jc w:val="center"/>
              <w:rPr>
                <w:rFonts w:ascii="Arial" w:hAnsi="Arial" w:cs="Arial"/>
              </w:rPr>
            </w:pPr>
            <w:r w:rsidRPr="00C865F8">
              <w:rPr>
                <w:rFonts w:ascii="Arial" w:hAnsi="Arial" w:cs="Arial"/>
              </w:rPr>
              <w:t>$33,293.74</w:t>
            </w:r>
          </w:p>
        </w:tc>
      </w:tr>
    </w:tbl>
    <w:p w14:paraId="67198024" w14:textId="77777777" w:rsidR="00E301F0" w:rsidRPr="00E301F0" w:rsidRDefault="00E301F0" w:rsidP="000C7F2E">
      <w:pPr>
        <w:jc w:val="both"/>
        <w:rPr>
          <w:rFonts w:ascii="Arial" w:hAnsi="Arial" w:cs="Arial"/>
          <w:bCs/>
          <w:sz w:val="24"/>
          <w:szCs w:val="24"/>
        </w:rPr>
      </w:pPr>
    </w:p>
    <w:p w14:paraId="7E924786" w14:textId="741D5B46" w:rsidR="000C7F2E" w:rsidRDefault="000C7F2E" w:rsidP="00154A31">
      <w:pPr>
        <w:tabs>
          <w:tab w:val="left" w:pos="2029"/>
        </w:tabs>
        <w:jc w:val="both"/>
        <w:rPr>
          <w:rFonts w:ascii="Arial" w:hAnsi="Arial" w:cs="Arial"/>
          <w:sz w:val="24"/>
          <w:szCs w:val="24"/>
          <w:highlight w:val="yellow"/>
        </w:rPr>
      </w:pPr>
    </w:p>
    <w:p w14:paraId="0BAE6E32" w14:textId="739ADC4D" w:rsidR="00E301F0" w:rsidRPr="00154A31" w:rsidRDefault="00E301F0" w:rsidP="000C7F2E">
      <w:pPr>
        <w:jc w:val="both"/>
        <w:rPr>
          <w:rFonts w:ascii="Arial" w:hAnsi="Arial" w:cs="Arial"/>
          <w:sz w:val="24"/>
          <w:szCs w:val="24"/>
        </w:rPr>
      </w:pPr>
    </w:p>
    <w:p w14:paraId="222DCC15" w14:textId="7FB4503B" w:rsidR="00AC6D5A" w:rsidRDefault="00AC6D5A" w:rsidP="00D207F4">
      <w:pPr>
        <w:ind w:left="360"/>
        <w:jc w:val="both"/>
        <w:rPr>
          <w:rFonts w:ascii="Arial" w:hAnsi="Arial" w:cs="Arial"/>
          <w:sz w:val="24"/>
          <w:szCs w:val="24"/>
        </w:rPr>
      </w:pPr>
    </w:p>
    <w:p w14:paraId="4376DFC5" w14:textId="2DE8C985" w:rsidR="007A091D" w:rsidRDefault="007A091D" w:rsidP="00D207F4">
      <w:pPr>
        <w:ind w:left="360"/>
        <w:jc w:val="both"/>
        <w:rPr>
          <w:rFonts w:ascii="Arial" w:hAnsi="Arial" w:cs="Arial"/>
          <w:sz w:val="24"/>
          <w:szCs w:val="24"/>
        </w:rPr>
      </w:pPr>
      <w:r>
        <w:rPr>
          <w:rFonts w:ascii="Arial" w:hAnsi="Arial" w:cs="Arial"/>
          <w:sz w:val="24"/>
          <w:szCs w:val="24"/>
        </w:rPr>
        <w:lastRenderedPageBreak/>
        <w:t>Para efecto de visualizar aquellas plazas que cambian de adscripción</w:t>
      </w:r>
      <w:r w:rsidR="00996F89">
        <w:rPr>
          <w:rFonts w:ascii="Arial" w:hAnsi="Arial" w:cs="Arial"/>
          <w:sz w:val="24"/>
          <w:szCs w:val="24"/>
        </w:rPr>
        <w:t xml:space="preserve"> para conformar la </w:t>
      </w:r>
      <w:r w:rsidR="00996F89" w:rsidRPr="00996F89">
        <w:rPr>
          <w:rFonts w:ascii="Arial" w:hAnsi="Arial" w:cs="Arial"/>
          <w:i/>
          <w:iCs/>
          <w:sz w:val="24"/>
          <w:szCs w:val="24"/>
        </w:rPr>
        <w:t>Dirección de Fideicomisos,</w:t>
      </w:r>
      <w:r w:rsidR="00996F89">
        <w:rPr>
          <w:rFonts w:ascii="Arial" w:hAnsi="Arial" w:cs="Arial"/>
          <w:sz w:val="24"/>
          <w:szCs w:val="24"/>
        </w:rPr>
        <w:t xml:space="preserve"> se</w:t>
      </w:r>
      <w:r>
        <w:rPr>
          <w:rFonts w:ascii="Arial" w:hAnsi="Arial" w:cs="Arial"/>
          <w:sz w:val="24"/>
          <w:szCs w:val="24"/>
        </w:rPr>
        <w:t xml:space="preserve"> anexa el siguiente cuadro comparativo</w:t>
      </w:r>
      <w:r w:rsidR="00996F89">
        <w:rPr>
          <w:rFonts w:ascii="Arial" w:hAnsi="Arial" w:cs="Arial"/>
          <w:sz w:val="24"/>
          <w:szCs w:val="24"/>
        </w:rPr>
        <w:t>:</w:t>
      </w:r>
      <w:r>
        <w:rPr>
          <w:rFonts w:ascii="Arial" w:hAnsi="Arial" w:cs="Arial"/>
          <w:sz w:val="24"/>
          <w:szCs w:val="24"/>
        </w:rPr>
        <w:t xml:space="preserve"> </w:t>
      </w:r>
    </w:p>
    <w:p w14:paraId="2AC1B6B6" w14:textId="648B2E98" w:rsidR="007A091D" w:rsidRDefault="007A091D" w:rsidP="00C865F8">
      <w:pPr>
        <w:jc w:val="both"/>
        <w:rPr>
          <w:rFonts w:ascii="Arial" w:hAnsi="Arial" w:cs="Arial"/>
          <w:sz w:val="24"/>
          <w:szCs w:val="24"/>
        </w:rPr>
      </w:pPr>
    </w:p>
    <w:tbl>
      <w:tblPr>
        <w:tblStyle w:val="Tablaconcuadrcula"/>
        <w:tblW w:w="9219" w:type="dxa"/>
        <w:tblInd w:w="360" w:type="dxa"/>
        <w:tblLook w:val="04A0" w:firstRow="1" w:lastRow="0" w:firstColumn="1" w:lastColumn="0" w:noHBand="0" w:noVBand="1"/>
      </w:tblPr>
      <w:tblGrid>
        <w:gridCol w:w="1998"/>
        <w:gridCol w:w="2343"/>
        <w:gridCol w:w="2959"/>
        <w:gridCol w:w="1919"/>
      </w:tblGrid>
      <w:tr w:rsidR="00BA432E" w:rsidRPr="00C865F8" w14:paraId="70A87A6F" w14:textId="77777777" w:rsidTr="00996F89">
        <w:trPr>
          <w:trHeight w:val="134"/>
        </w:trPr>
        <w:tc>
          <w:tcPr>
            <w:tcW w:w="9219" w:type="dxa"/>
            <w:gridSpan w:val="4"/>
            <w:shd w:val="clear" w:color="auto" w:fill="D9D9D9" w:themeFill="background1" w:themeFillShade="D9"/>
            <w:vAlign w:val="center"/>
          </w:tcPr>
          <w:p w14:paraId="2DAA1305" w14:textId="565F5E23" w:rsidR="00BA432E" w:rsidRPr="00C865F8" w:rsidRDefault="00BA432E" w:rsidP="00996F89">
            <w:pPr>
              <w:jc w:val="center"/>
              <w:rPr>
                <w:rFonts w:ascii="Arial" w:hAnsi="Arial" w:cs="Arial"/>
                <w:b/>
                <w:bCs/>
              </w:rPr>
            </w:pPr>
            <w:r w:rsidRPr="00C865F8">
              <w:rPr>
                <w:rFonts w:ascii="Arial" w:hAnsi="Arial" w:cs="Arial"/>
                <w:b/>
                <w:bCs/>
              </w:rPr>
              <w:t>PLANTILLA ACTUAL</w:t>
            </w:r>
          </w:p>
        </w:tc>
      </w:tr>
      <w:tr w:rsidR="00BA432E" w:rsidRPr="00C865F8" w14:paraId="2EDB6654" w14:textId="77777777" w:rsidTr="00996F89">
        <w:trPr>
          <w:trHeight w:val="134"/>
        </w:trPr>
        <w:tc>
          <w:tcPr>
            <w:tcW w:w="1998" w:type="dxa"/>
            <w:shd w:val="clear" w:color="auto" w:fill="F2F2F2" w:themeFill="background1" w:themeFillShade="F2"/>
            <w:vAlign w:val="center"/>
          </w:tcPr>
          <w:p w14:paraId="77CD842A" w14:textId="3933E434" w:rsidR="00BA432E" w:rsidRPr="00C865F8" w:rsidRDefault="00BA432E" w:rsidP="00996F89">
            <w:pPr>
              <w:jc w:val="center"/>
              <w:rPr>
                <w:rFonts w:ascii="Arial" w:hAnsi="Arial" w:cs="Arial"/>
                <w:b/>
                <w:bCs/>
              </w:rPr>
            </w:pPr>
            <w:r w:rsidRPr="00C865F8">
              <w:rPr>
                <w:rFonts w:ascii="Arial" w:hAnsi="Arial" w:cs="Arial"/>
                <w:b/>
                <w:bCs/>
              </w:rPr>
              <w:t>Dirección</w:t>
            </w:r>
          </w:p>
        </w:tc>
        <w:tc>
          <w:tcPr>
            <w:tcW w:w="2343" w:type="dxa"/>
            <w:shd w:val="clear" w:color="auto" w:fill="F2F2F2" w:themeFill="background1" w:themeFillShade="F2"/>
            <w:vAlign w:val="center"/>
          </w:tcPr>
          <w:p w14:paraId="225443A9" w14:textId="2E66FADC" w:rsidR="00BA432E" w:rsidRPr="00C865F8" w:rsidRDefault="00BA432E" w:rsidP="00996F89">
            <w:pPr>
              <w:jc w:val="center"/>
              <w:rPr>
                <w:rFonts w:ascii="Arial" w:hAnsi="Arial" w:cs="Arial"/>
                <w:b/>
                <w:bCs/>
              </w:rPr>
            </w:pPr>
            <w:r w:rsidRPr="00C865F8">
              <w:rPr>
                <w:rFonts w:ascii="Arial" w:hAnsi="Arial" w:cs="Arial"/>
                <w:b/>
                <w:bCs/>
              </w:rPr>
              <w:t>Área de Adscripción</w:t>
            </w:r>
          </w:p>
        </w:tc>
        <w:tc>
          <w:tcPr>
            <w:tcW w:w="2959" w:type="dxa"/>
            <w:shd w:val="clear" w:color="auto" w:fill="F2F2F2" w:themeFill="background1" w:themeFillShade="F2"/>
            <w:vAlign w:val="center"/>
          </w:tcPr>
          <w:p w14:paraId="15B45C60" w14:textId="3FB29B12" w:rsidR="00BA432E" w:rsidRPr="00C865F8" w:rsidRDefault="00BA432E" w:rsidP="00996F89">
            <w:pPr>
              <w:jc w:val="center"/>
              <w:rPr>
                <w:rFonts w:ascii="Arial" w:hAnsi="Arial" w:cs="Arial"/>
                <w:b/>
                <w:bCs/>
              </w:rPr>
            </w:pPr>
            <w:r w:rsidRPr="00C865F8">
              <w:rPr>
                <w:rFonts w:ascii="Arial" w:hAnsi="Arial" w:cs="Arial"/>
                <w:b/>
                <w:bCs/>
              </w:rPr>
              <w:t>Nombramiento</w:t>
            </w:r>
          </w:p>
        </w:tc>
        <w:tc>
          <w:tcPr>
            <w:tcW w:w="1919" w:type="dxa"/>
            <w:shd w:val="clear" w:color="auto" w:fill="F2F2F2" w:themeFill="background1" w:themeFillShade="F2"/>
            <w:vAlign w:val="center"/>
          </w:tcPr>
          <w:p w14:paraId="0140A1FE" w14:textId="77777777" w:rsidR="00BA432E" w:rsidRPr="00C865F8" w:rsidRDefault="00BA432E" w:rsidP="00996F89">
            <w:pPr>
              <w:jc w:val="center"/>
              <w:rPr>
                <w:rFonts w:ascii="Arial" w:hAnsi="Arial" w:cs="Arial"/>
                <w:b/>
                <w:bCs/>
              </w:rPr>
            </w:pPr>
          </w:p>
          <w:p w14:paraId="43488845" w14:textId="41F3E784" w:rsidR="00BA432E" w:rsidRPr="00C865F8" w:rsidRDefault="00BA432E" w:rsidP="00996F89">
            <w:pPr>
              <w:jc w:val="center"/>
              <w:rPr>
                <w:rFonts w:ascii="Arial" w:hAnsi="Arial" w:cs="Arial"/>
                <w:b/>
                <w:bCs/>
              </w:rPr>
            </w:pPr>
            <w:r w:rsidRPr="00C865F8">
              <w:rPr>
                <w:rFonts w:ascii="Arial" w:hAnsi="Arial" w:cs="Arial"/>
                <w:b/>
                <w:bCs/>
              </w:rPr>
              <w:t>Sueldo Bruto</w:t>
            </w:r>
          </w:p>
        </w:tc>
      </w:tr>
      <w:tr w:rsidR="00996F89" w:rsidRPr="00C865F8" w14:paraId="398B6F08" w14:textId="77777777" w:rsidTr="00996F89">
        <w:trPr>
          <w:trHeight w:val="268"/>
        </w:trPr>
        <w:tc>
          <w:tcPr>
            <w:tcW w:w="1998" w:type="dxa"/>
            <w:vAlign w:val="center"/>
          </w:tcPr>
          <w:p w14:paraId="316A13C4" w14:textId="450594F6" w:rsidR="00996F89" w:rsidRPr="00C865F8" w:rsidRDefault="00996F89" w:rsidP="00996F89">
            <w:pPr>
              <w:jc w:val="center"/>
              <w:rPr>
                <w:rFonts w:ascii="Arial" w:hAnsi="Arial" w:cs="Arial"/>
              </w:rPr>
            </w:pPr>
            <w:r w:rsidRPr="00C865F8">
              <w:rPr>
                <w:rFonts w:ascii="Arial" w:hAnsi="Arial" w:cs="Arial"/>
              </w:rPr>
              <w:t>Dirección General de Finanzas</w:t>
            </w:r>
          </w:p>
        </w:tc>
        <w:tc>
          <w:tcPr>
            <w:tcW w:w="2343" w:type="dxa"/>
            <w:vAlign w:val="center"/>
          </w:tcPr>
          <w:p w14:paraId="4D8506CA" w14:textId="07266E90" w:rsidR="00996F89" w:rsidRPr="00C865F8" w:rsidRDefault="00996F89" w:rsidP="00996F89">
            <w:pPr>
              <w:jc w:val="center"/>
              <w:rPr>
                <w:rFonts w:ascii="Arial" w:hAnsi="Arial" w:cs="Arial"/>
              </w:rPr>
            </w:pPr>
            <w:r w:rsidRPr="00C865F8">
              <w:rPr>
                <w:rFonts w:ascii="Arial" w:hAnsi="Arial" w:cs="Arial"/>
              </w:rPr>
              <w:t>Unidad de Estudios Económicos, Actuariales Y de Presupuesto</w:t>
            </w:r>
          </w:p>
        </w:tc>
        <w:tc>
          <w:tcPr>
            <w:tcW w:w="2959" w:type="dxa"/>
            <w:vAlign w:val="center"/>
          </w:tcPr>
          <w:p w14:paraId="03626341" w14:textId="6AC0509F" w:rsidR="00996F89" w:rsidRPr="00C865F8" w:rsidRDefault="00996F89" w:rsidP="00996F89">
            <w:pPr>
              <w:jc w:val="center"/>
              <w:rPr>
                <w:rFonts w:ascii="Arial" w:hAnsi="Arial" w:cs="Arial"/>
              </w:rPr>
            </w:pPr>
            <w:r w:rsidRPr="00C865F8">
              <w:rPr>
                <w:rFonts w:ascii="Arial" w:hAnsi="Arial" w:cs="Arial"/>
              </w:rPr>
              <w:t>Director de la Unidad de Estudios Económicos, Actuariales y Presupuesto</w:t>
            </w:r>
          </w:p>
        </w:tc>
        <w:tc>
          <w:tcPr>
            <w:tcW w:w="1919" w:type="dxa"/>
            <w:vAlign w:val="center"/>
          </w:tcPr>
          <w:p w14:paraId="70866F5B" w14:textId="28D545F2" w:rsidR="00996F89" w:rsidRPr="00C865F8" w:rsidRDefault="00996F89" w:rsidP="00996F89">
            <w:pPr>
              <w:jc w:val="center"/>
              <w:rPr>
                <w:rFonts w:ascii="Arial" w:hAnsi="Arial" w:cs="Arial"/>
              </w:rPr>
            </w:pPr>
            <w:r w:rsidRPr="00C865F8">
              <w:rPr>
                <w:rFonts w:ascii="Arial" w:hAnsi="Arial" w:cs="Arial"/>
              </w:rPr>
              <w:t>$50,390.00</w:t>
            </w:r>
          </w:p>
        </w:tc>
      </w:tr>
      <w:tr w:rsidR="00996F89" w:rsidRPr="00C865F8" w14:paraId="68FA8CE6" w14:textId="77777777" w:rsidTr="00996F89">
        <w:trPr>
          <w:trHeight w:val="268"/>
        </w:trPr>
        <w:tc>
          <w:tcPr>
            <w:tcW w:w="1998" w:type="dxa"/>
            <w:vAlign w:val="center"/>
          </w:tcPr>
          <w:p w14:paraId="48012602" w14:textId="719CE6ED" w:rsidR="00996F89" w:rsidRPr="00C865F8" w:rsidRDefault="00996F89" w:rsidP="00996F89">
            <w:pPr>
              <w:jc w:val="center"/>
              <w:rPr>
                <w:rFonts w:ascii="Arial" w:hAnsi="Arial" w:cs="Arial"/>
              </w:rPr>
            </w:pPr>
            <w:r w:rsidRPr="00C865F8">
              <w:rPr>
                <w:rFonts w:ascii="Arial" w:hAnsi="Arial" w:cs="Arial"/>
              </w:rPr>
              <w:t>Dirección General de Finanzas</w:t>
            </w:r>
          </w:p>
        </w:tc>
        <w:tc>
          <w:tcPr>
            <w:tcW w:w="2343" w:type="dxa"/>
            <w:vAlign w:val="center"/>
          </w:tcPr>
          <w:p w14:paraId="6F1C014D" w14:textId="686C473A" w:rsidR="00996F89" w:rsidRPr="00C865F8" w:rsidRDefault="00996F89" w:rsidP="00996F89">
            <w:pPr>
              <w:jc w:val="center"/>
              <w:rPr>
                <w:rFonts w:ascii="Arial" w:hAnsi="Arial" w:cs="Arial"/>
              </w:rPr>
            </w:pPr>
            <w:r w:rsidRPr="00C865F8">
              <w:rPr>
                <w:rFonts w:ascii="Arial" w:hAnsi="Arial" w:cs="Arial"/>
              </w:rPr>
              <w:t>Unidad de Estudios Económicos, Actuariales Y de Presupuesto</w:t>
            </w:r>
          </w:p>
        </w:tc>
        <w:tc>
          <w:tcPr>
            <w:tcW w:w="2959" w:type="dxa"/>
            <w:vAlign w:val="center"/>
          </w:tcPr>
          <w:p w14:paraId="206ADA5D" w14:textId="42A1F05C" w:rsidR="00996F89" w:rsidRPr="00C865F8" w:rsidRDefault="00996F89" w:rsidP="00996F89">
            <w:pPr>
              <w:jc w:val="center"/>
              <w:rPr>
                <w:rFonts w:ascii="Arial" w:hAnsi="Arial" w:cs="Arial"/>
              </w:rPr>
            </w:pPr>
            <w:r w:rsidRPr="00C865F8">
              <w:rPr>
                <w:rFonts w:ascii="Arial" w:hAnsi="Arial" w:cs="Arial"/>
                <w:color w:val="000000"/>
              </w:rPr>
              <w:t>Especialista en Estudios y Evaluación de Proyectos</w:t>
            </w:r>
          </w:p>
        </w:tc>
        <w:tc>
          <w:tcPr>
            <w:tcW w:w="1919" w:type="dxa"/>
            <w:vAlign w:val="center"/>
          </w:tcPr>
          <w:p w14:paraId="3E47F122" w14:textId="5FBB093E" w:rsidR="00996F89" w:rsidRPr="00C865F8" w:rsidRDefault="00996F89" w:rsidP="00996F89">
            <w:pPr>
              <w:jc w:val="center"/>
              <w:rPr>
                <w:rFonts w:ascii="Arial" w:hAnsi="Arial" w:cs="Arial"/>
              </w:rPr>
            </w:pPr>
            <w:r w:rsidRPr="00C865F8">
              <w:rPr>
                <w:rFonts w:ascii="Arial" w:hAnsi="Arial" w:cs="Arial"/>
              </w:rPr>
              <w:t>$29,389.00</w:t>
            </w:r>
          </w:p>
        </w:tc>
      </w:tr>
      <w:tr w:rsidR="00996F89" w:rsidRPr="00C865F8" w14:paraId="15DCE93A" w14:textId="77777777" w:rsidTr="00996F89">
        <w:trPr>
          <w:trHeight w:val="268"/>
        </w:trPr>
        <w:tc>
          <w:tcPr>
            <w:tcW w:w="1998" w:type="dxa"/>
            <w:vAlign w:val="center"/>
          </w:tcPr>
          <w:p w14:paraId="7253EC70" w14:textId="396DD8EB" w:rsidR="00996F89" w:rsidRPr="00C865F8" w:rsidRDefault="00996F89" w:rsidP="00996F89">
            <w:pPr>
              <w:jc w:val="center"/>
              <w:rPr>
                <w:rFonts w:ascii="Arial" w:hAnsi="Arial" w:cs="Arial"/>
              </w:rPr>
            </w:pPr>
            <w:r w:rsidRPr="00C865F8">
              <w:rPr>
                <w:rFonts w:ascii="Arial" w:hAnsi="Arial" w:cs="Arial"/>
              </w:rPr>
              <w:t>Dirección de Promoción de Vivienda</w:t>
            </w:r>
          </w:p>
        </w:tc>
        <w:tc>
          <w:tcPr>
            <w:tcW w:w="2343" w:type="dxa"/>
            <w:vAlign w:val="center"/>
          </w:tcPr>
          <w:p w14:paraId="18A27169" w14:textId="515037A5" w:rsidR="00996F89" w:rsidRPr="00C865F8" w:rsidRDefault="00996F89" w:rsidP="00996F89">
            <w:pPr>
              <w:jc w:val="center"/>
              <w:rPr>
                <w:rFonts w:ascii="Arial" w:hAnsi="Arial" w:cs="Arial"/>
              </w:rPr>
            </w:pPr>
            <w:r w:rsidRPr="00C865F8">
              <w:rPr>
                <w:rFonts w:ascii="Arial" w:hAnsi="Arial" w:cs="Arial"/>
              </w:rPr>
              <w:t>Administración de Promoción y Vivienda y Avalúos</w:t>
            </w:r>
          </w:p>
        </w:tc>
        <w:tc>
          <w:tcPr>
            <w:tcW w:w="2959" w:type="dxa"/>
            <w:vAlign w:val="center"/>
          </w:tcPr>
          <w:p w14:paraId="2AE59234" w14:textId="242E0C5B" w:rsidR="00996F89" w:rsidRPr="00C865F8" w:rsidRDefault="00996F89" w:rsidP="00996F89">
            <w:pPr>
              <w:jc w:val="center"/>
              <w:rPr>
                <w:rFonts w:ascii="Arial" w:hAnsi="Arial" w:cs="Arial"/>
                <w:color w:val="000000"/>
              </w:rPr>
            </w:pPr>
            <w:r w:rsidRPr="00C865F8">
              <w:rPr>
                <w:rFonts w:ascii="Arial" w:hAnsi="Arial" w:cs="Arial"/>
              </w:rPr>
              <w:t>Director de Fideicomisos</w:t>
            </w:r>
          </w:p>
        </w:tc>
        <w:tc>
          <w:tcPr>
            <w:tcW w:w="1919" w:type="dxa"/>
            <w:vAlign w:val="center"/>
          </w:tcPr>
          <w:p w14:paraId="44268C30" w14:textId="3D1A22A6" w:rsidR="00996F89" w:rsidRPr="00C865F8" w:rsidRDefault="00996F89" w:rsidP="00996F89">
            <w:pPr>
              <w:jc w:val="center"/>
              <w:rPr>
                <w:rFonts w:ascii="Arial" w:hAnsi="Arial" w:cs="Arial"/>
              </w:rPr>
            </w:pPr>
            <w:r w:rsidRPr="00C865F8">
              <w:rPr>
                <w:rFonts w:ascii="Arial" w:hAnsi="Arial" w:cs="Arial"/>
              </w:rPr>
              <w:t>$42,130.00</w:t>
            </w:r>
          </w:p>
        </w:tc>
      </w:tr>
      <w:tr w:rsidR="00996F89" w:rsidRPr="00C865F8" w14:paraId="54E89209" w14:textId="77777777" w:rsidTr="00996F89">
        <w:trPr>
          <w:trHeight w:val="268"/>
        </w:trPr>
        <w:tc>
          <w:tcPr>
            <w:tcW w:w="9219" w:type="dxa"/>
            <w:gridSpan w:val="4"/>
            <w:shd w:val="clear" w:color="auto" w:fill="D9D9D9" w:themeFill="background1" w:themeFillShade="D9"/>
            <w:vAlign w:val="center"/>
          </w:tcPr>
          <w:p w14:paraId="19225376" w14:textId="53E1D712" w:rsidR="00996F89" w:rsidRPr="00C865F8" w:rsidRDefault="00996F89" w:rsidP="00996F89">
            <w:pPr>
              <w:jc w:val="center"/>
              <w:rPr>
                <w:rFonts w:ascii="Arial" w:hAnsi="Arial" w:cs="Arial"/>
                <w:b/>
                <w:bCs/>
              </w:rPr>
            </w:pPr>
            <w:r w:rsidRPr="00C865F8">
              <w:rPr>
                <w:rFonts w:ascii="Arial" w:hAnsi="Arial" w:cs="Arial"/>
                <w:b/>
                <w:bCs/>
              </w:rPr>
              <w:t>PROPUESTA DE REGLAMENTO</w:t>
            </w:r>
          </w:p>
        </w:tc>
      </w:tr>
      <w:tr w:rsidR="00996F89" w:rsidRPr="00C865F8" w14:paraId="2BEC7683" w14:textId="77777777" w:rsidTr="00996F89">
        <w:trPr>
          <w:trHeight w:val="268"/>
        </w:trPr>
        <w:tc>
          <w:tcPr>
            <w:tcW w:w="1998" w:type="dxa"/>
            <w:shd w:val="clear" w:color="auto" w:fill="F2F2F2" w:themeFill="background1" w:themeFillShade="F2"/>
            <w:vAlign w:val="center"/>
          </w:tcPr>
          <w:p w14:paraId="793737A3" w14:textId="024BD62B" w:rsidR="00996F89" w:rsidRPr="00C865F8" w:rsidRDefault="00996F89" w:rsidP="00996F89">
            <w:pPr>
              <w:jc w:val="center"/>
              <w:rPr>
                <w:rFonts w:ascii="Arial" w:hAnsi="Arial" w:cs="Arial"/>
              </w:rPr>
            </w:pPr>
            <w:r w:rsidRPr="00C865F8">
              <w:rPr>
                <w:rFonts w:ascii="Arial" w:hAnsi="Arial" w:cs="Arial"/>
                <w:b/>
                <w:bCs/>
              </w:rPr>
              <w:t>Dirección</w:t>
            </w:r>
          </w:p>
        </w:tc>
        <w:tc>
          <w:tcPr>
            <w:tcW w:w="2343" w:type="dxa"/>
            <w:shd w:val="clear" w:color="auto" w:fill="F2F2F2" w:themeFill="background1" w:themeFillShade="F2"/>
            <w:vAlign w:val="center"/>
          </w:tcPr>
          <w:p w14:paraId="565E5649" w14:textId="3263F215" w:rsidR="00996F89" w:rsidRPr="00C865F8" w:rsidRDefault="00996F89" w:rsidP="00996F89">
            <w:pPr>
              <w:jc w:val="center"/>
              <w:rPr>
                <w:rFonts w:ascii="Arial" w:hAnsi="Arial" w:cs="Arial"/>
              </w:rPr>
            </w:pPr>
            <w:r w:rsidRPr="00C865F8">
              <w:rPr>
                <w:rFonts w:ascii="Arial" w:hAnsi="Arial" w:cs="Arial"/>
                <w:b/>
                <w:bCs/>
              </w:rPr>
              <w:t>Área de Adscripción</w:t>
            </w:r>
          </w:p>
        </w:tc>
        <w:tc>
          <w:tcPr>
            <w:tcW w:w="2959" w:type="dxa"/>
            <w:shd w:val="clear" w:color="auto" w:fill="F2F2F2" w:themeFill="background1" w:themeFillShade="F2"/>
            <w:vAlign w:val="center"/>
          </w:tcPr>
          <w:p w14:paraId="7C2101E9" w14:textId="3F4AEDE4" w:rsidR="00996F89" w:rsidRPr="00C865F8" w:rsidRDefault="00996F89" w:rsidP="00996F89">
            <w:pPr>
              <w:jc w:val="center"/>
              <w:rPr>
                <w:rFonts w:ascii="Arial" w:hAnsi="Arial" w:cs="Arial"/>
              </w:rPr>
            </w:pPr>
            <w:r w:rsidRPr="00C865F8">
              <w:rPr>
                <w:rFonts w:ascii="Arial" w:hAnsi="Arial" w:cs="Arial"/>
                <w:b/>
                <w:bCs/>
              </w:rPr>
              <w:t>Nombramiento</w:t>
            </w:r>
          </w:p>
        </w:tc>
        <w:tc>
          <w:tcPr>
            <w:tcW w:w="1919" w:type="dxa"/>
            <w:shd w:val="clear" w:color="auto" w:fill="F2F2F2" w:themeFill="background1" w:themeFillShade="F2"/>
            <w:vAlign w:val="center"/>
          </w:tcPr>
          <w:p w14:paraId="389521A4" w14:textId="77777777" w:rsidR="00996F89" w:rsidRPr="00C865F8" w:rsidRDefault="00996F89" w:rsidP="00996F89">
            <w:pPr>
              <w:jc w:val="center"/>
              <w:rPr>
                <w:rFonts w:ascii="Arial" w:hAnsi="Arial" w:cs="Arial"/>
                <w:b/>
                <w:bCs/>
              </w:rPr>
            </w:pPr>
          </w:p>
          <w:p w14:paraId="19534E38" w14:textId="4C3853F0" w:rsidR="00996F89" w:rsidRPr="00C865F8" w:rsidRDefault="00996F89" w:rsidP="00996F89">
            <w:pPr>
              <w:jc w:val="center"/>
              <w:rPr>
                <w:rFonts w:ascii="Arial" w:hAnsi="Arial" w:cs="Arial"/>
              </w:rPr>
            </w:pPr>
            <w:r w:rsidRPr="00C865F8">
              <w:rPr>
                <w:rFonts w:ascii="Arial" w:hAnsi="Arial" w:cs="Arial"/>
                <w:b/>
                <w:bCs/>
              </w:rPr>
              <w:t>Sueldo Bruto</w:t>
            </w:r>
          </w:p>
        </w:tc>
      </w:tr>
      <w:tr w:rsidR="00996F89" w:rsidRPr="00C865F8" w14:paraId="6CF62990" w14:textId="77777777" w:rsidTr="00996F89">
        <w:trPr>
          <w:trHeight w:val="268"/>
        </w:trPr>
        <w:tc>
          <w:tcPr>
            <w:tcW w:w="1998" w:type="dxa"/>
            <w:vAlign w:val="center"/>
          </w:tcPr>
          <w:p w14:paraId="298B53F6" w14:textId="7A935477" w:rsidR="00996F89" w:rsidRPr="00C865F8" w:rsidRDefault="00996F89" w:rsidP="00996F89">
            <w:pPr>
              <w:jc w:val="center"/>
              <w:rPr>
                <w:rFonts w:ascii="Arial" w:hAnsi="Arial" w:cs="Arial"/>
              </w:rPr>
            </w:pPr>
            <w:r w:rsidRPr="00C865F8">
              <w:rPr>
                <w:rFonts w:ascii="Arial" w:hAnsi="Arial" w:cs="Arial"/>
              </w:rPr>
              <w:t>Dirección de Fideicomisos</w:t>
            </w:r>
          </w:p>
        </w:tc>
        <w:tc>
          <w:tcPr>
            <w:tcW w:w="2343" w:type="dxa"/>
            <w:vAlign w:val="center"/>
          </w:tcPr>
          <w:p w14:paraId="6120CC12" w14:textId="35F65C36" w:rsidR="00996F89" w:rsidRPr="00C865F8" w:rsidRDefault="00996F89" w:rsidP="00996F89">
            <w:pPr>
              <w:jc w:val="center"/>
              <w:rPr>
                <w:rFonts w:ascii="Arial" w:hAnsi="Arial" w:cs="Arial"/>
              </w:rPr>
            </w:pPr>
            <w:r w:rsidRPr="00C865F8">
              <w:rPr>
                <w:rFonts w:ascii="Arial" w:hAnsi="Arial" w:cs="Arial"/>
              </w:rPr>
              <w:t>Dirección de Fideicomisos</w:t>
            </w:r>
          </w:p>
        </w:tc>
        <w:tc>
          <w:tcPr>
            <w:tcW w:w="2959" w:type="dxa"/>
            <w:vAlign w:val="center"/>
          </w:tcPr>
          <w:p w14:paraId="4241C839" w14:textId="424FBDFD" w:rsidR="00996F89" w:rsidRPr="00C865F8" w:rsidRDefault="00996F89" w:rsidP="00996F89">
            <w:pPr>
              <w:jc w:val="center"/>
              <w:rPr>
                <w:rFonts w:ascii="Arial" w:hAnsi="Arial" w:cs="Arial"/>
              </w:rPr>
            </w:pPr>
            <w:r w:rsidRPr="00C865F8">
              <w:rPr>
                <w:rFonts w:ascii="Arial" w:hAnsi="Arial" w:cs="Arial"/>
              </w:rPr>
              <w:t>Dirección de Fideicomisos.</w:t>
            </w:r>
          </w:p>
        </w:tc>
        <w:tc>
          <w:tcPr>
            <w:tcW w:w="1919" w:type="dxa"/>
            <w:vAlign w:val="center"/>
          </w:tcPr>
          <w:p w14:paraId="70AB0BF2" w14:textId="40F4B622" w:rsidR="00996F89" w:rsidRPr="00C865F8" w:rsidRDefault="00996F89" w:rsidP="00996F89">
            <w:pPr>
              <w:jc w:val="center"/>
              <w:rPr>
                <w:rFonts w:ascii="Arial" w:hAnsi="Arial" w:cs="Arial"/>
              </w:rPr>
            </w:pPr>
            <w:r w:rsidRPr="00C865F8">
              <w:rPr>
                <w:rFonts w:ascii="Arial" w:hAnsi="Arial" w:cs="Arial"/>
              </w:rPr>
              <w:t>$50,390.00</w:t>
            </w:r>
          </w:p>
        </w:tc>
      </w:tr>
      <w:tr w:rsidR="00996F89" w:rsidRPr="00C865F8" w14:paraId="2897ACED" w14:textId="77777777" w:rsidTr="00996F89">
        <w:trPr>
          <w:trHeight w:val="268"/>
        </w:trPr>
        <w:tc>
          <w:tcPr>
            <w:tcW w:w="1998" w:type="dxa"/>
            <w:vAlign w:val="center"/>
          </w:tcPr>
          <w:p w14:paraId="2E1F18DA" w14:textId="1ED19B67" w:rsidR="00996F89" w:rsidRPr="00C865F8" w:rsidRDefault="00996F89" w:rsidP="00996F89">
            <w:pPr>
              <w:jc w:val="center"/>
              <w:rPr>
                <w:rFonts w:ascii="Arial" w:hAnsi="Arial" w:cs="Arial"/>
              </w:rPr>
            </w:pPr>
            <w:r w:rsidRPr="00C865F8">
              <w:rPr>
                <w:rFonts w:ascii="Arial" w:hAnsi="Arial" w:cs="Arial"/>
              </w:rPr>
              <w:t>Dirección de Fideicomisos</w:t>
            </w:r>
          </w:p>
        </w:tc>
        <w:tc>
          <w:tcPr>
            <w:tcW w:w="2343" w:type="dxa"/>
            <w:vAlign w:val="center"/>
          </w:tcPr>
          <w:p w14:paraId="7A093444" w14:textId="6A437A0F" w:rsidR="00996F89" w:rsidRPr="00C865F8" w:rsidRDefault="00996F89" w:rsidP="00996F89">
            <w:pPr>
              <w:jc w:val="center"/>
              <w:rPr>
                <w:rFonts w:ascii="Arial" w:hAnsi="Arial" w:cs="Arial"/>
              </w:rPr>
            </w:pPr>
            <w:r w:rsidRPr="00C865F8">
              <w:rPr>
                <w:rFonts w:ascii="Arial" w:hAnsi="Arial" w:cs="Arial"/>
              </w:rPr>
              <w:t>Dirección de Fideicomisos</w:t>
            </w:r>
          </w:p>
        </w:tc>
        <w:tc>
          <w:tcPr>
            <w:tcW w:w="2959" w:type="dxa"/>
            <w:vAlign w:val="center"/>
          </w:tcPr>
          <w:p w14:paraId="4E270312" w14:textId="3C75A65E" w:rsidR="00996F89" w:rsidRPr="00C865F8" w:rsidRDefault="00996F89" w:rsidP="00996F89">
            <w:pPr>
              <w:jc w:val="center"/>
              <w:rPr>
                <w:rFonts w:ascii="Arial" w:hAnsi="Arial" w:cs="Arial"/>
              </w:rPr>
            </w:pPr>
            <w:r w:rsidRPr="00C865F8">
              <w:rPr>
                <w:rFonts w:ascii="Arial" w:hAnsi="Arial" w:cs="Arial"/>
              </w:rPr>
              <w:t>Gerencia de relación con fiduciarios.</w:t>
            </w:r>
          </w:p>
        </w:tc>
        <w:tc>
          <w:tcPr>
            <w:tcW w:w="1919" w:type="dxa"/>
            <w:vAlign w:val="center"/>
          </w:tcPr>
          <w:p w14:paraId="49ADB8CF" w14:textId="06FC0BB3" w:rsidR="00996F89" w:rsidRPr="00C865F8" w:rsidRDefault="00996F89" w:rsidP="00996F89">
            <w:pPr>
              <w:jc w:val="center"/>
              <w:rPr>
                <w:rFonts w:ascii="Arial" w:hAnsi="Arial" w:cs="Arial"/>
              </w:rPr>
            </w:pPr>
            <w:r w:rsidRPr="00C865F8">
              <w:rPr>
                <w:rFonts w:ascii="Arial" w:hAnsi="Arial" w:cs="Arial"/>
              </w:rPr>
              <w:t>$42,130.00</w:t>
            </w:r>
          </w:p>
        </w:tc>
      </w:tr>
      <w:tr w:rsidR="00996F89" w:rsidRPr="00C865F8" w14:paraId="0AE5D062" w14:textId="77777777" w:rsidTr="00996F89">
        <w:trPr>
          <w:trHeight w:val="268"/>
        </w:trPr>
        <w:tc>
          <w:tcPr>
            <w:tcW w:w="1998" w:type="dxa"/>
            <w:vAlign w:val="center"/>
          </w:tcPr>
          <w:p w14:paraId="211A78E5" w14:textId="27A3EEAF" w:rsidR="00996F89" w:rsidRPr="00C865F8" w:rsidRDefault="00996F89" w:rsidP="00996F89">
            <w:pPr>
              <w:jc w:val="center"/>
              <w:rPr>
                <w:rFonts w:ascii="Arial" w:hAnsi="Arial" w:cs="Arial"/>
              </w:rPr>
            </w:pPr>
            <w:r w:rsidRPr="00C865F8">
              <w:rPr>
                <w:rFonts w:ascii="Arial" w:hAnsi="Arial" w:cs="Arial"/>
              </w:rPr>
              <w:t>Dirección de Fideicomisos</w:t>
            </w:r>
          </w:p>
        </w:tc>
        <w:tc>
          <w:tcPr>
            <w:tcW w:w="2343" w:type="dxa"/>
            <w:vAlign w:val="center"/>
          </w:tcPr>
          <w:p w14:paraId="0F9CB360" w14:textId="57087256" w:rsidR="00996F89" w:rsidRPr="00C865F8" w:rsidRDefault="00996F89" w:rsidP="00996F89">
            <w:pPr>
              <w:jc w:val="center"/>
              <w:rPr>
                <w:rFonts w:ascii="Arial" w:hAnsi="Arial" w:cs="Arial"/>
              </w:rPr>
            </w:pPr>
            <w:r w:rsidRPr="00C865F8">
              <w:rPr>
                <w:rFonts w:ascii="Arial" w:hAnsi="Arial" w:cs="Arial"/>
              </w:rPr>
              <w:t>Dirección de Fideicomisos</w:t>
            </w:r>
          </w:p>
        </w:tc>
        <w:tc>
          <w:tcPr>
            <w:tcW w:w="2959" w:type="dxa"/>
            <w:vAlign w:val="center"/>
          </w:tcPr>
          <w:p w14:paraId="099A169C" w14:textId="1F7A3A92" w:rsidR="00996F89" w:rsidRPr="00C865F8" w:rsidRDefault="00996F89" w:rsidP="00996F89">
            <w:pPr>
              <w:jc w:val="center"/>
              <w:rPr>
                <w:rFonts w:ascii="Arial" w:hAnsi="Arial" w:cs="Arial"/>
              </w:rPr>
            </w:pPr>
            <w:r w:rsidRPr="00C865F8">
              <w:rPr>
                <w:rFonts w:ascii="Arial" w:hAnsi="Arial" w:cs="Arial"/>
              </w:rPr>
              <w:t>Gerencia de relación con inversionistas.</w:t>
            </w:r>
          </w:p>
        </w:tc>
        <w:tc>
          <w:tcPr>
            <w:tcW w:w="1919" w:type="dxa"/>
            <w:vAlign w:val="center"/>
          </w:tcPr>
          <w:p w14:paraId="77622301" w14:textId="0E59813C" w:rsidR="00996F89" w:rsidRPr="00C865F8" w:rsidRDefault="00996F89" w:rsidP="00996F89">
            <w:pPr>
              <w:jc w:val="center"/>
              <w:rPr>
                <w:rFonts w:ascii="Arial" w:hAnsi="Arial" w:cs="Arial"/>
              </w:rPr>
            </w:pPr>
            <w:r w:rsidRPr="00C865F8">
              <w:rPr>
                <w:rFonts w:ascii="Arial" w:hAnsi="Arial" w:cs="Arial"/>
              </w:rPr>
              <w:t>$ 29,389.00</w:t>
            </w:r>
          </w:p>
        </w:tc>
      </w:tr>
    </w:tbl>
    <w:p w14:paraId="4A876C30" w14:textId="77777777" w:rsidR="007A091D" w:rsidRDefault="007A091D" w:rsidP="00D207F4">
      <w:pPr>
        <w:ind w:left="360"/>
        <w:jc w:val="both"/>
        <w:rPr>
          <w:rFonts w:ascii="Arial" w:hAnsi="Arial" w:cs="Arial"/>
          <w:sz w:val="24"/>
          <w:szCs w:val="24"/>
        </w:rPr>
      </w:pPr>
    </w:p>
    <w:p w14:paraId="196C4340" w14:textId="03FC7854" w:rsidR="00154A31" w:rsidRDefault="00C865F8" w:rsidP="00C865F8">
      <w:pPr>
        <w:ind w:left="360"/>
        <w:jc w:val="both"/>
        <w:rPr>
          <w:rFonts w:ascii="Arial" w:hAnsi="Arial" w:cs="Arial"/>
          <w:sz w:val="24"/>
          <w:szCs w:val="24"/>
        </w:rPr>
      </w:pPr>
      <w:r>
        <w:rPr>
          <w:rFonts w:ascii="Arial" w:hAnsi="Arial" w:cs="Arial"/>
          <w:sz w:val="24"/>
          <w:szCs w:val="24"/>
        </w:rPr>
        <w:t xml:space="preserve">Para efecto de visualizar el cambio de adscripción del médico general que pasaría a ser el </w:t>
      </w:r>
      <w:r w:rsidRPr="00C865F8">
        <w:rPr>
          <w:rFonts w:ascii="Arial" w:hAnsi="Arial" w:cs="Arial"/>
          <w:i/>
          <w:iCs/>
          <w:sz w:val="24"/>
          <w:szCs w:val="24"/>
        </w:rPr>
        <w:t>Gerente de Subrogados</w:t>
      </w:r>
      <w:r>
        <w:rPr>
          <w:rFonts w:ascii="Arial" w:hAnsi="Arial" w:cs="Arial"/>
          <w:sz w:val="24"/>
          <w:szCs w:val="24"/>
        </w:rPr>
        <w:t xml:space="preserve"> se anexa la siguiente información: </w:t>
      </w:r>
    </w:p>
    <w:tbl>
      <w:tblPr>
        <w:tblStyle w:val="Tablaconcuadrcula"/>
        <w:tblW w:w="9219" w:type="dxa"/>
        <w:tblInd w:w="360" w:type="dxa"/>
        <w:tblLook w:val="04A0" w:firstRow="1" w:lastRow="0" w:firstColumn="1" w:lastColumn="0" w:noHBand="0" w:noVBand="1"/>
      </w:tblPr>
      <w:tblGrid>
        <w:gridCol w:w="1998"/>
        <w:gridCol w:w="2343"/>
        <w:gridCol w:w="2959"/>
        <w:gridCol w:w="1919"/>
      </w:tblGrid>
      <w:tr w:rsidR="00C865F8" w:rsidRPr="00C865F8" w14:paraId="34DDCAA5" w14:textId="77777777" w:rsidTr="00AF4625">
        <w:trPr>
          <w:trHeight w:val="60"/>
        </w:trPr>
        <w:tc>
          <w:tcPr>
            <w:tcW w:w="9219" w:type="dxa"/>
            <w:gridSpan w:val="4"/>
            <w:shd w:val="clear" w:color="auto" w:fill="D9D9D9" w:themeFill="background1" w:themeFillShade="D9"/>
            <w:vAlign w:val="center"/>
          </w:tcPr>
          <w:p w14:paraId="7F8F3B2B" w14:textId="41333769" w:rsidR="00C865F8" w:rsidRPr="00C865F8" w:rsidRDefault="00C865F8" w:rsidP="00AF4625">
            <w:pPr>
              <w:jc w:val="center"/>
              <w:rPr>
                <w:rFonts w:ascii="Arial" w:hAnsi="Arial" w:cs="Arial"/>
                <w:b/>
                <w:bCs/>
              </w:rPr>
            </w:pPr>
            <w:r w:rsidRPr="00C865F8">
              <w:rPr>
                <w:rFonts w:ascii="Arial" w:hAnsi="Arial" w:cs="Arial"/>
                <w:b/>
                <w:bCs/>
              </w:rPr>
              <w:t>PLANTILLA ACTUAL</w:t>
            </w:r>
          </w:p>
        </w:tc>
      </w:tr>
      <w:tr w:rsidR="00C865F8" w:rsidRPr="00C865F8" w14:paraId="09A29E5D" w14:textId="77777777" w:rsidTr="00827C2F">
        <w:trPr>
          <w:trHeight w:val="134"/>
        </w:trPr>
        <w:tc>
          <w:tcPr>
            <w:tcW w:w="1998" w:type="dxa"/>
            <w:shd w:val="clear" w:color="auto" w:fill="F2F2F2" w:themeFill="background1" w:themeFillShade="F2"/>
            <w:vAlign w:val="center"/>
          </w:tcPr>
          <w:p w14:paraId="3BB3F6AE" w14:textId="77777777" w:rsidR="00C865F8" w:rsidRPr="00C865F8" w:rsidRDefault="00C865F8" w:rsidP="00827C2F">
            <w:pPr>
              <w:jc w:val="center"/>
              <w:rPr>
                <w:rFonts w:ascii="Arial" w:hAnsi="Arial" w:cs="Arial"/>
                <w:b/>
                <w:bCs/>
              </w:rPr>
            </w:pPr>
            <w:r w:rsidRPr="00C865F8">
              <w:rPr>
                <w:rFonts w:ascii="Arial" w:hAnsi="Arial" w:cs="Arial"/>
                <w:b/>
                <w:bCs/>
              </w:rPr>
              <w:t>Dirección</w:t>
            </w:r>
          </w:p>
        </w:tc>
        <w:tc>
          <w:tcPr>
            <w:tcW w:w="2343" w:type="dxa"/>
            <w:shd w:val="clear" w:color="auto" w:fill="F2F2F2" w:themeFill="background1" w:themeFillShade="F2"/>
            <w:vAlign w:val="center"/>
          </w:tcPr>
          <w:p w14:paraId="020B49C8" w14:textId="77777777" w:rsidR="00C865F8" w:rsidRPr="00C865F8" w:rsidRDefault="00C865F8" w:rsidP="00827C2F">
            <w:pPr>
              <w:jc w:val="center"/>
              <w:rPr>
                <w:rFonts w:ascii="Arial" w:hAnsi="Arial" w:cs="Arial"/>
                <w:b/>
                <w:bCs/>
              </w:rPr>
            </w:pPr>
            <w:r w:rsidRPr="00C865F8">
              <w:rPr>
                <w:rFonts w:ascii="Arial" w:hAnsi="Arial" w:cs="Arial"/>
                <w:b/>
                <w:bCs/>
              </w:rPr>
              <w:t>Área de Adscripción</w:t>
            </w:r>
          </w:p>
        </w:tc>
        <w:tc>
          <w:tcPr>
            <w:tcW w:w="2959" w:type="dxa"/>
            <w:shd w:val="clear" w:color="auto" w:fill="F2F2F2" w:themeFill="background1" w:themeFillShade="F2"/>
            <w:vAlign w:val="center"/>
          </w:tcPr>
          <w:p w14:paraId="061A2599" w14:textId="77777777" w:rsidR="00C865F8" w:rsidRPr="00C865F8" w:rsidRDefault="00C865F8" w:rsidP="00827C2F">
            <w:pPr>
              <w:jc w:val="center"/>
              <w:rPr>
                <w:rFonts w:ascii="Arial" w:hAnsi="Arial" w:cs="Arial"/>
                <w:b/>
                <w:bCs/>
              </w:rPr>
            </w:pPr>
            <w:r w:rsidRPr="00C865F8">
              <w:rPr>
                <w:rFonts w:ascii="Arial" w:hAnsi="Arial" w:cs="Arial"/>
                <w:b/>
                <w:bCs/>
              </w:rPr>
              <w:t>Nombramiento</w:t>
            </w:r>
          </w:p>
        </w:tc>
        <w:tc>
          <w:tcPr>
            <w:tcW w:w="1919" w:type="dxa"/>
            <w:shd w:val="clear" w:color="auto" w:fill="F2F2F2" w:themeFill="background1" w:themeFillShade="F2"/>
            <w:vAlign w:val="center"/>
          </w:tcPr>
          <w:p w14:paraId="34210AF1" w14:textId="77777777" w:rsidR="00C865F8" w:rsidRPr="00C865F8" w:rsidRDefault="00C865F8" w:rsidP="00827C2F">
            <w:pPr>
              <w:jc w:val="center"/>
              <w:rPr>
                <w:rFonts w:ascii="Arial" w:hAnsi="Arial" w:cs="Arial"/>
                <w:b/>
                <w:bCs/>
              </w:rPr>
            </w:pPr>
          </w:p>
          <w:p w14:paraId="72AD9E66" w14:textId="77777777" w:rsidR="00C865F8" w:rsidRPr="00C865F8" w:rsidRDefault="00C865F8" w:rsidP="00827C2F">
            <w:pPr>
              <w:jc w:val="center"/>
              <w:rPr>
                <w:rFonts w:ascii="Arial" w:hAnsi="Arial" w:cs="Arial"/>
                <w:b/>
                <w:bCs/>
              </w:rPr>
            </w:pPr>
            <w:r w:rsidRPr="00C865F8">
              <w:rPr>
                <w:rFonts w:ascii="Arial" w:hAnsi="Arial" w:cs="Arial"/>
                <w:b/>
                <w:bCs/>
              </w:rPr>
              <w:t>Sueldo Bruto</w:t>
            </w:r>
          </w:p>
        </w:tc>
      </w:tr>
      <w:tr w:rsidR="00C865F8" w:rsidRPr="00C865F8" w14:paraId="5FC80942" w14:textId="77777777" w:rsidTr="00C865F8">
        <w:trPr>
          <w:trHeight w:val="268"/>
        </w:trPr>
        <w:tc>
          <w:tcPr>
            <w:tcW w:w="1998" w:type="dxa"/>
            <w:vAlign w:val="center"/>
          </w:tcPr>
          <w:p w14:paraId="3EA215D9" w14:textId="7E4B3425" w:rsidR="00C865F8" w:rsidRPr="00C865F8" w:rsidRDefault="00C865F8" w:rsidP="00C865F8">
            <w:pPr>
              <w:jc w:val="center"/>
              <w:rPr>
                <w:rFonts w:ascii="Arial" w:hAnsi="Arial" w:cs="Arial"/>
              </w:rPr>
            </w:pPr>
            <w:r w:rsidRPr="00C865F8">
              <w:rPr>
                <w:rFonts w:ascii="Arial" w:hAnsi="Arial" w:cs="Arial"/>
              </w:rPr>
              <w:t xml:space="preserve">Dirección </w:t>
            </w:r>
            <w:r>
              <w:rPr>
                <w:rFonts w:ascii="Arial" w:hAnsi="Arial" w:cs="Arial"/>
              </w:rPr>
              <w:t>General d</w:t>
            </w:r>
            <w:r w:rsidRPr="00C865F8">
              <w:rPr>
                <w:rFonts w:ascii="Arial" w:hAnsi="Arial" w:cs="Arial"/>
              </w:rPr>
              <w:t>e Servicios Médicos</w:t>
            </w:r>
          </w:p>
        </w:tc>
        <w:tc>
          <w:tcPr>
            <w:tcW w:w="2343" w:type="dxa"/>
            <w:vAlign w:val="center"/>
          </w:tcPr>
          <w:p w14:paraId="6B2D0B48" w14:textId="7654A877" w:rsidR="00C865F8" w:rsidRPr="00C865F8" w:rsidRDefault="00C865F8" w:rsidP="00C865F8">
            <w:pPr>
              <w:jc w:val="center"/>
              <w:rPr>
                <w:rFonts w:ascii="Arial" w:hAnsi="Arial" w:cs="Arial"/>
              </w:rPr>
            </w:pPr>
            <w:r w:rsidRPr="00C865F8">
              <w:rPr>
                <w:rFonts w:ascii="Arial" w:hAnsi="Arial" w:cs="Arial"/>
              </w:rPr>
              <w:t>UNIMEF Javier Mina</w:t>
            </w:r>
          </w:p>
        </w:tc>
        <w:tc>
          <w:tcPr>
            <w:tcW w:w="2959" w:type="dxa"/>
            <w:vAlign w:val="center"/>
          </w:tcPr>
          <w:p w14:paraId="3A16C71D" w14:textId="4A54B2BA" w:rsidR="00C865F8" w:rsidRPr="00C865F8" w:rsidRDefault="00C865F8" w:rsidP="00C865F8">
            <w:pPr>
              <w:jc w:val="center"/>
              <w:rPr>
                <w:rFonts w:ascii="Arial" w:hAnsi="Arial" w:cs="Arial"/>
              </w:rPr>
            </w:pPr>
            <w:r w:rsidRPr="00C865F8">
              <w:rPr>
                <w:rFonts w:ascii="Arial" w:hAnsi="Arial" w:cs="Arial"/>
              </w:rPr>
              <w:t>Médico General</w:t>
            </w:r>
          </w:p>
        </w:tc>
        <w:tc>
          <w:tcPr>
            <w:tcW w:w="1919" w:type="dxa"/>
            <w:vAlign w:val="center"/>
          </w:tcPr>
          <w:p w14:paraId="16E1640D" w14:textId="7AF28ADA" w:rsidR="00C865F8" w:rsidRPr="00C865F8" w:rsidRDefault="00C865F8" w:rsidP="00C865F8">
            <w:pPr>
              <w:jc w:val="center"/>
              <w:rPr>
                <w:rFonts w:ascii="Arial" w:hAnsi="Arial" w:cs="Arial"/>
              </w:rPr>
            </w:pPr>
            <w:r>
              <w:rPr>
                <w:rFonts w:ascii="Arial" w:hAnsi="Arial" w:cs="Arial"/>
              </w:rPr>
              <w:t>$</w:t>
            </w:r>
            <w:r w:rsidRPr="00C865F8">
              <w:rPr>
                <w:rFonts w:ascii="Arial" w:hAnsi="Arial" w:cs="Arial"/>
              </w:rPr>
              <w:t>30,314.00</w:t>
            </w:r>
          </w:p>
        </w:tc>
      </w:tr>
      <w:tr w:rsidR="00C865F8" w:rsidRPr="00C865F8" w14:paraId="3A38DC95" w14:textId="77777777" w:rsidTr="00827C2F">
        <w:trPr>
          <w:trHeight w:val="268"/>
        </w:trPr>
        <w:tc>
          <w:tcPr>
            <w:tcW w:w="9219" w:type="dxa"/>
            <w:gridSpan w:val="4"/>
            <w:shd w:val="clear" w:color="auto" w:fill="D9D9D9" w:themeFill="background1" w:themeFillShade="D9"/>
            <w:vAlign w:val="center"/>
          </w:tcPr>
          <w:p w14:paraId="2DCD5B6B" w14:textId="77777777" w:rsidR="00C865F8" w:rsidRPr="00C865F8" w:rsidRDefault="00C865F8" w:rsidP="00827C2F">
            <w:pPr>
              <w:jc w:val="center"/>
              <w:rPr>
                <w:rFonts w:ascii="Arial" w:hAnsi="Arial" w:cs="Arial"/>
                <w:b/>
                <w:bCs/>
              </w:rPr>
            </w:pPr>
            <w:r w:rsidRPr="00C865F8">
              <w:rPr>
                <w:rFonts w:ascii="Arial" w:hAnsi="Arial" w:cs="Arial"/>
                <w:b/>
                <w:bCs/>
              </w:rPr>
              <w:t>PROPUESTA DE REGLAMENTO</w:t>
            </w:r>
          </w:p>
        </w:tc>
      </w:tr>
      <w:tr w:rsidR="00C865F8" w:rsidRPr="00C865F8" w14:paraId="29EB4FC3" w14:textId="77777777" w:rsidTr="00827C2F">
        <w:trPr>
          <w:trHeight w:val="268"/>
        </w:trPr>
        <w:tc>
          <w:tcPr>
            <w:tcW w:w="1998" w:type="dxa"/>
            <w:shd w:val="clear" w:color="auto" w:fill="F2F2F2" w:themeFill="background1" w:themeFillShade="F2"/>
            <w:vAlign w:val="center"/>
          </w:tcPr>
          <w:p w14:paraId="32730943" w14:textId="77777777" w:rsidR="00C865F8" w:rsidRPr="00C865F8" w:rsidRDefault="00C865F8" w:rsidP="00827C2F">
            <w:pPr>
              <w:jc w:val="center"/>
              <w:rPr>
                <w:rFonts w:ascii="Arial" w:hAnsi="Arial" w:cs="Arial"/>
              </w:rPr>
            </w:pPr>
            <w:r w:rsidRPr="00C865F8">
              <w:rPr>
                <w:rFonts w:ascii="Arial" w:hAnsi="Arial" w:cs="Arial"/>
                <w:b/>
                <w:bCs/>
              </w:rPr>
              <w:t>Dirección</w:t>
            </w:r>
          </w:p>
        </w:tc>
        <w:tc>
          <w:tcPr>
            <w:tcW w:w="2343" w:type="dxa"/>
            <w:shd w:val="clear" w:color="auto" w:fill="F2F2F2" w:themeFill="background1" w:themeFillShade="F2"/>
            <w:vAlign w:val="center"/>
          </w:tcPr>
          <w:p w14:paraId="02370D9C" w14:textId="77777777" w:rsidR="00C865F8" w:rsidRPr="00C865F8" w:rsidRDefault="00C865F8" w:rsidP="00827C2F">
            <w:pPr>
              <w:jc w:val="center"/>
              <w:rPr>
                <w:rFonts w:ascii="Arial" w:hAnsi="Arial" w:cs="Arial"/>
              </w:rPr>
            </w:pPr>
            <w:r w:rsidRPr="00C865F8">
              <w:rPr>
                <w:rFonts w:ascii="Arial" w:hAnsi="Arial" w:cs="Arial"/>
                <w:b/>
                <w:bCs/>
              </w:rPr>
              <w:t>Área de Adscripción</w:t>
            </w:r>
          </w:p>
        </w:tc>
        <w:tc>
          <w:tcPr>
            <w:tcW w:w="2959" w:type="dxa"/>
            <w:shd w:val="clear" w:color="auto" w:fill="F2F2F2" w:themeFill="background1" w:themeFillShade="F2"/>
            <w:vAlign w:val="center"/>
          </w:tcPr>
          <w:p w14:paraId="1511CAFA" w14:textId="77777777" w:rsidR="00C865F8" w:rsidRPr="00C865F8" w:rsidRDefault="00C865F8" w:rsidP="00827C2F">
            <w:pPr>
              <w:jc w:val="center"/>
              <w:rPr>
                <w:rFonts w:ascii="Arial" w:hAnsi="Arial" w:cs="Arial"/>
              </w:rPr>
            </w:pPr>
            <w:r w:rsidRPr="00C865F8">
              <w:rPr>
                <w:rFonts w:ascii="Arial" w:hAnsi="Arial" w:cs="Arial"/>
                <w:b/>
                <w:bCs/>
              </w:rPr>
              <w:t>Nombramiento</w:t>
            </w:r>
          </w:p>
        </w:tc>
        <w:tc>
          <w:tcPr>
            <w:tcW w:w="1919" w:type="dxa"/>
            <w:shd w:val="clear" w:color="auto" w:fill="F2F2F2" w:themeFill="background1" w:themeFillShade="F2"/>
            <w:vAlign w:val="center"/>
          </w:tcPr>
          <w:p w14:paraId="66A4A03A" w14:textId="77777777" w:rsidR="00C865F8" w:rsidRPr="00C865F8" w:rsidRDefault="00C865F8" w:rsidP="00827C2F">
            <w:pPr>
              <w:jc w:val="center"/>
              <w:rPr>
                <w:rFonts w:ascii="Arial" w:hAnsi="Arial" w:cs="Arial"/>
                <w:b/>
                <w:bCs/>
              </w:rPr>
            </w:pPr>
          </w:p>
          <w:p w14:paraId="54A3C5E2" w14:textId="77777777" w:rsidR="00C865F8" w:rsidRPr="00C865F8" w:rsidRDefault="00C865F8" w:rsidP="00827C2F">
            <w:pPr>
              <w:jc w:val="center"/>
              <w:rPr>
                <w:rFonts w:ascii="Arial" w:hAnsi="Arial" w:cs="Arial"/>
              </w:rPr>
            </w:pPr>
            <w:r w:rsidRPr="00C865F8">
              <w:rPr>
                <w:rFonts w:ascii="Arial" w:hAnsi="Arial" w:cs="Arial"/>
                <w:b/>
                <w:bCs/>
              </w:rPr>
              <w:t>Sueldo Bruto</w:t>
            </w:r>
          </w:p>
        </w:tc>
      </w:tr>
      <w:tr w:rsidR="00C865F8" w:rsidRPr="00C865F8" w14:paraId="76E7409A" w14:textId="77777777" w:rsidTr="00827C2F">
        <w:trPr>
          <w:trHeight w:val="268"/>
        </w:trPr>
        <w:tc>
          <w:tcPr>
            <w:tcW w:w="1998" w:type="dxa"/>
            <w:vAlign w:val="center"/>
          </w:tcPr>
          <w:p w14:paraId="435FAB74" w14:textId="4FB1CF0B" w:rsidR="00C865F8" w:rsidRPr="00C865F8" w:rsidRDefault="00C865F8" w:rsidP="00827C2F">
            <w:pPr>
              <w:jc w:val="center"/>
              <w:rPr>
                <w:rFonts w:ascii="Arial" w:hAnsi="Arial" w:cs="Arial"/>
              </w:rPr>
            </w:pPr>
            <w:r w:rsidRPr="00C865F8">
              <w:rPr>
                <w:rFonts w:ascii="Arial" w:hAnsi="Arial" w:cs="Arial"/>
              </w:rPr>
              <w:t>Dirección de Servicios Médicos</w:t>
            </w:r>
          </w:p>
        </w:tc>
        <w:tc>
          <w:tcPr>
            <w:tcW w:w="2343" w:type="dxa"/>
            <w:vAlign w:val="center"/>
          </w:tcPr>
          <w:p w14:paraId="48416326" w14:textId="64E75A51" w:rsidR="00C865F8" w:rsidRPr="00C865F8" w:rsidRDefault="00C865F8" w:rsidP="00827C2F">
            <w:pPr>
              <w:jc w:val="center"/>
              <w:rPr>
                <w:rFonts w:ascii="Arial" w:hAnsi="Arial" w:cs="Arial"/>
              </w:rPr>
            </w:pPr>
            <w:r>
              <w:rPr>
                <w:rFonts w:ascii="Arial" w:hAnsi="Arial" w:cs="Arial"/>
              </w:rPr>
              <w:t xml:space="preserve">Servicios Médicos </w:t>
            </w:r>
          </w:p>
        </w:tc>
        <w:tc>
          <w:tcPr>
            <w:tcW w:w="2959" w:type="dxa"/>
            <w:vAlign w:val="center"/>
          </w:tcPr>
          <w:p w14:paraId="0F8572C3" w14:textId="77777777" w:rsidR="00C865F8" w:rsidRPr="00C865F8" w:rsidRDefault="00C865F8" w:rsidP="00827C2F">
            <w:pPr>
              <w:jc w:val="center"/>
              <w:rPr>
                <w:rFonts w:ascii="Arial" w:hAnsi="Arial" w:cs="Arial"/>
              </w:rPr>
            </w:pPr>
            <w:r w:rsidRPr="00C865F8">
              <w:rPr>
                <w:rFonts w:ascii="Arial" w:hAnsi="Arial" w:cs="Arial"/>
              </w:rPr>
              <w:t>Dirección de Fideicomisos.</w:t>
            </w:r>
          </w:p>
        </w:tc>
        <w:tc>
          <w:tcPr>
            <w:tcW w:w="1919" w:type="dxa"/>
            <w:vAlign w:val="center"/>
          </w:tcPr>
          <w:p w14:paraId="0D906109" w14:textId="7C1751E6" w:rsidR="00C865F8" w:rsidRPr="00C865F8" w:rsidRDefault="00AF4625" w:rsidP="00827C2F">
            <w:pPr>
              <w:jc w:val="center"/>
              <w:rPr>
                <w:rFonts w:ascii="Arial" w:hAnsi="Arial" w:cs="Arial"/>
              </w:rPr>
            </w:pPr>
            <w:r>
              <w:rPr>
                <w:rFonts w:ascii="Arial" w:hAnsi="Arial" w:cs="Arial"/>
              </w:rPr>
              <w:t>$</w:t>
            </w:r>
            <w:r w:rsidRPr="00AF4625">
              <w:rPr>
                <w:rFonts w:ascii="Arial" w:hAnsi="Arial" w:cs="Arial"/>
              </w:rPr>
              <w:t>38,852.00</w:t>
            </w:r>
          </w:p>
        </w:tc>
      </w:tr>
    </w:tbl>
    <w:p w14:paraId="23759A12" w14:textId="64E19EC5" w:rsidR="00154A31" w:rsidRDefault="00154A31" w:rsidP="00D207F4">
      <w:pPr>
        <w:ind w:left="360"/>
        <w:jc w:val="both"/>
        <w:rPr>
          <w:rFonts w:ascii="Arial" w:hAnsi="Arial" w:cs="Arial"/>
          <w:sz w:val="24"/>
          <w:szCs w:val="24"/>
        </w:rPr>
      </w:pPr>
    </w:p>
    <w:p w14:paraId="3E94CD6C" w14:textId="657D0D46" w:rsidR="00AF4625" w:rsidRDefault="00AF4625" w:rsidP="00D207F4">
      <w:pPr>
        <w:ind w:left="360"/>
        <w:jc w:val="both"/>
        <w:rPr>
          <w:rFonts w:ascii="Arial" w:hAnsi="Arial" w:cs="Arial"/>
          <w:sz w:val="24"/>
          <w:szCs w:val="24"/>
        </w:rPr>
      </w:pPr>
    </w:p>
    <w:p w14:paraId="09732002" w14:textId="209F9D95" w:rsidR="00AF4625" w:rsidRDefault="00AF4625" w:rsidP="00D207F4">
      <w:pPr>
        <w:ind w:left="360"/>
        <w:jc w:val="both"/>
        <w:rPr>
          <w:rFonts w:ascii="Arial" w:hAnsi="Arial" w:cs="Arial"/>
          <w:sz w:val="24"/>
          <w:szCs w:val="24"/>
        </w:rPr>
      </w:pPr>
    </w:p>
    <w:p w14:paraId="266D2117" w14:textId="5F1AE26A" w:rsidR="00AF4625" w:rsidRDefault="00AF4625" w:rsidP="00D207F4">
      <w:pPr>
        <w:ind w:left="360"/>
        <w:jc w:val="both"/>
        <w:rPr>
          <w:rFonts w:ascii="Arial" w:hAnsi="Arial" w:cs="Arial"/>
          <w:sz w:val="24"/>
          <w:szCs w:val="24"/>
        </w:rPr>
      </w:pPr>
      <w:r>
        <w:rPr>
          <w:rFonts w:ascii="Arial" w:hAnsi="Arial" w:cs="Arial"/>
          <w:sz w:val="24"/>
          <w:szCs w:val="24"/>
        </w:rPr>
        <w:lastRenderedPageBreak/>
        <w:t xml:space="preserve">Para efectos de visualizar el cambio en la </w:t>
      </w:r>
      <w:r w:rsidRPr="00AF4625">
        <w:rPr>
          <w:rFonts w:ascii="Arial" w:hAnsi="Arial" w:cs="Arial"/>
          <w:i/>
          <w:iCs/>
          <w:sz w:val="24"/>
          <w:szCs w:val="24"/>
        </w:rPr>
        <w:t>Consejería Jurídica</w:t>
      </w:r>
      <w:r>
        <w:rPr>
          <w:rFonts w:ascii="Arial" w:hAnsi="Arial" w:cs="Arial"/>
          <w:sz w:val="24"/>
          <w:szCs w:val="24"/>
        </w:rPr>
        <w:t xml:space="preserve"> se anexa el siguiente cuadro</w:t>
      </w:r>
      <w:r w:rsidR="00712DC9">
        <w:rPr>
          <w:rFonts w:ascii="Arial" w:hAnsi="Arial" w:cs="Arial"/>
          <w:sz w:val="24"/>
          <w:szCs w:val="24"/>
        </w:rPr>
        <w:t xml:space="preserve">: </w:t>
      </w:r>
    </w:p>
    <w:tbl>
      <w:tblPr>
        <w:tblStyle w:val="Tablaconcuadrcula"/>
        <w:tblW w:w="9219" w:type="dxa"/>
        <w:tblInd w:w="360" w:type="dxa"/>
        <w:tblLook w:val="04A0" w:firstRow="1" w:lastRow="0" w:firstColumn="1" w:lastColumn="0" w:noHBand="0" w:noVBand="1"/>
      </w:tblPr>
      <w:tblGrid>
        <w:gridCol w:w="1998"/>
        <w:gridCol w:w="2343"/>
        <w:gridCol w:w="2959"/>
        <w:gridCol w:w="1919"/>
      </w:tblGrid>
      <w:tr w:rsidR="00712DC9" w:rsidRPr="00C865F8" w14:paraId="276E2640" w14:textId="77777777" w:rsidTr="00827C2F">
        <w:trPr>
          <w:trHeight w:val="60"/>
        </w:trPr>
        <w:tc>
          <w:tcPr>
            <w:tcW w:w="9219" w:type="dxa"/>
            <w:gridSpan w:val="4"/>
            <w:shd w:val="clear" w:color="auto" w:fill="D9D9D9" w:themeFill="background1" w:themeFillShade="D9"/>
            <w:vAlign w:val="center"/>
          </w:tcPr>
          <w:p w14:paraId="73693DA0" w14:textId="77777777" w:rsidR="00712DC9" w:rsidRPr="00C865F8" w:rsidRDefault="00712DC9" w:rsidP="00827C2F">
            <w:pPr>
              <w:jc w:val="center"/>
              <w:rPr>
                <w:rFonts w:ascii="Arial" w:hAnsi="Arial" w:cs="Arial"/>
                <w:b/>
                <w:bCs/>
              </w:rPr>
            </w:pPr>
            <w:r w:rsidRPr="00C865F8">
              <w:rPr>
                <w:rFonts w:ascii="Arial" w:hAnsi="Arial" w:cs="Arial"/>
                <w:b/>
                <w:bCs/>
              </w:rPr>
              <w:t>PLANTILLA ACTUAL</w:t>
            </w:r>
          </w:p>
        </w:tc>
      </w:tr>
      <w:tr w:rsidR="00712DC9" w:rsidRPr="00C865F8" w14:paraId="1DE2874A" w14:textId="77777777" w:rsidTr="00827C2F">
        <w:trPr>
          <w:trHeight w:val="134"/>
        </w:trPr>
        <w:tc>
          <w:tcPr>
            <w:tcW w:w="1998" w:type="dxa"/>
            <w:shd w:val="clear" w:color="auto" w:fill="F2F2F2" w:themeFill="background1" w:themeFillShade="F2"/>
            <w:vAlign w:val="center"/>
          </w:tcPr>
          <w:p w14:paraId="47BE3A4B" w14:textId="77777777" w:rsidR="00712DC9" w:rsidRPr="00A608A8" w:rsidRDefault="00712DC9" w:rsidP="00827C2F">
            <w:pPr>
              <w:jc w:val="center"/>
              <w:rPr>
                <w:rFonts w:ascii="Arial" w:hAnsi="Arial" w:cs="Arial"/>
                <w:b/>
                <w:bCs/>
              </w:rPr>
            </w:pPr>
            <w:r w:rsidRPr="00A608A8">
              <w:rPr>
                <w:rFonts w:ascii="Arial" w:hAnsi="Arial" w:cs="Arial"/>
                <w:b/>
                <w:bCs/>
              </w:rPr>
              <w:t>Dirección</w:t>
            </w:r>
          </w:p>
        </w:tc>
        <w:tc>
          <w:tcPr>
            <w:tcW w:w="2343" w:type="dxa"/>
            <w:shd w:val="clear" w:color="auto" w:fill="F2F2F2" w:themeFill="background1" w:themeFillShade="F2"/>
            <w:vAlign w:val="center"/>
          </w:tcPr>
          <w:p w14:paraId="67CF2F4D" w14:textId="77777777" w:rsidR="00712DC9" w:rsidRPr="00A608A8" w:rsidRDefault="00712DC9" w:rsidP="00827C2F">
            <w:pPr>
              <w:jc w:val="center"/>
              <w:rPr>
                <w:rFonts w:ascii="Arial" w:hAnsi="Arial" w:cs="Arial"/>
                <w:b/>
                <w:bCs/>
              </w:rPr>
            </w:pPr>
            <w:r w:rsidRPr="00A608A8">
              <w:rPr>
                <w:rFonts w:ascii="Arial" w:hAnsi="Arial" w:cs="Arial"/>
                <w:b/>
                <w:bCs/>
              </w:rPr>
              <w:t>Área de Adscripción</w:t>
            </w:r>
          </w:p>
        </w:tc>
        <w:tc>
          <w:tcPr>
            <w:tcW w:w="2959" w:type="dxa"/>
            <w:shd w:val="clear" w:color="auto" w:fill="F2F2F2" w:themeFill="background1" w:themeFillShade="F2"/>
            <w:vAlign w:val="center"/>
          </w:tcPr>
          <w:p w14:paraId="125697EF" w14:textId="77777777" w:rsidR="00712DC9" w:rsidRPr="00A608A8" w:rsidRDefault="00712DC9" w:rsidP="00827C2F">
            <w:pPr>
              <w:jc w:val="center"/>
              <w:rPr>
                <w:rFonts w:ascii="Arial" w:hAnsi="Arial" w:cs="Arial"/>
                <w:b/>
                <w:bCs/>
              </w:rPr>
            </w:pPr>
            <w:r w:rsidRPr="00A608A8">
              <w:rPr>
                <w:rFonts w:ascii="Arial" w:hAnsi="Arial" w:cs="Arial"/>
                <w:b/>
                <w:bCs/>
              </w:rPr>
              <w:t>Nombramiento</w:t>
            </w:r>
          </w:p>
        </w:tc>
        <w:tc>
          <w:tcPr>
            <w:tcW w:w="1919" w:type="dxa"/>
            <w:shd w:val="clear" w:color="auto" w:fill="F2F2F2" w:themeFill="background1" w:themeFillShade="F2"/>
            <w:vAlign w:val="center"/>
          </w:tcPr>
          <w:p w14:paraId="1F0F6213" w14:textId="77777777" w:rsidR="00712DC9" w:rsidRPr="00A608A8" w:rsidRDefault="00712DC9" w:rsidP="00827C2F">
            <w:pPr>
              <w:jc w:val="center"/>
              <w:rPr>
                <w:rFonts w:ascii="Arial" w:hAnsi="Arial" w:cs="Arial"/>
                <w:b/>
                <w:bCs/>
              </w:rPr>
            </w:pPr>
          </w:p>
          <w:p w14:paraId="2C3239DC" w14:textId="77777777" w:rsidR="00712DC9" w:rsidRPr="00A608A8" w:rsidRDefault="00712DC9" w:rsidP="00827C2F">
            <w:pPr>
              <w:jc w:val="center"/>
              <w:rPr>
                <w:rFonts w:ascii="Arial" w:hAnsi="Arial" w:cs="Arial"/>
                <w:b/>
                <w:bCs/>
              </w:rPr>
            </w:pPr>
            <w:r w:rsidRPr="00A608A8">
              <w:rPr>
                <w:rFonts w:ascii="Arial" w:hAnsi="Arial" w:cs="Arial"/>
                <w:b/>
                <w:bCs/>
              </w:rPr>
              <w:t>Sueldo Bruto</w:t>
            </w:r>
          </w:p>
        </w:tc>
      </w:tr>
      <w:tr w:rsidR="00712DC9" w:rsidRPr="00C865F8" w14:paraId="795FBFE0" w14:textId="77777777" w:rsidTr="00827C2F">
        <w:trPr>
          <w:trHeight w:val="268"/>
        </w:trPr>
        <w:tc>
          <w:tcPr>
            <w:tcW w:w="1998" w:type="dxa"/>
            <w:vAlign w:val="center"/>
          </w:tcPr>
          <w:p w14:paraId="166CD79C" w14:textId="2C5D8C5D" w:rsidR="00712DC9" w:rsidRPr="00A608A8" w:rsidRDefault="00712DC9" w:rsidP="00712DC9">
            <w:pPr>
              <w:jc w:val="center"/>
              <w:rPr>
                <w:rFonts w:ascii="Arial" w:hAnsi="Arial" w:cs="Arial"/>
              </w:rPr>
            </w:pPr>
            <w:r w:rsidRPr="00A608A8">
              <w:rPr>
                <w:rFonts w:ascii="Arial" w:hAnsi="Arial" w:cs="Arial"/>
              </w:rPr>
              <w:t xml:space="preserve">Dirección General </w:t>
            </w:r>
          </w:p>
        </w:tc>
        <w:tc>
          <w:tcPr>
            <w:tcW w:w="2343" w:type="dxa"/>
            <w:vAlign w:val="center"/>
          </w:tcPr>
          <w:p w14:paraId="68983836" w14:textId="6D460D9C" w:rsidR="00712DC9" w:rsidRPr="00A608A8" w:rsidRDefault="00712DC9" w:rsidP="00712DC9">
            <w:pPr>
              <w:jc w:val="center"/>
              <w:rPr>
                <w:rFonts w:ascii="Arial" w:hAnsi="Arial" w:cs="Arial"/>
              </w:rPr>
            </w:pPr>
            <w:r w:rsidRPr="00A608A8">
              <w:rPr>
                <w:rFonts w:ascii="Arial" w:hAnsi="Arial" w:cs="Arial"/>
              </w:rPr>
              <w:t xml:space="preserve">Dirección General </w:t>
            </w:r>
          </w:p>
        </w:tc>
        <w:tc>
          <w:tcPr>
            <w:tcW w:w="2959" w:type="dxa"/>
            <w:vAlign w:val="center"/>
          </w:tcPr>
          <w:p w14:paraId="32B166D4" w14:textId="41460FFA" w:rsidR="00712DC9" w:rsidRPr="00A608A8" w:rsidRDefault="00712DC9" w:rsidP="00712DC9">
            <w:pPr>
              <w:jc w:val="center"/>
              <w:rPr>
                <w:rFonts w:ascii="Arial" w:hAnsi="Arial" w:cs="Arial"/>
              </w:rPr>
            </w:pPr>
            <w:r w:rsidRPr="00A608A8">
              <w:rPr>
                <w:rFonts w:ascii="Arial" w:hAnsi="Arial" w:cs="Arial"/>
              </w:rPr>
              <w:t>Consejero Jurídico</w:t>
            </w:r>
          </w:p>
        </w:tc>
        <w:tc>
          <w:tcPr>
            <w:tcW w:w="1919" w:type="dxa"/>
            <w:vAlign w:val="center"/>
          </w:tcPr>
          <w:p w14:paraId="5AC2AC7B" w14:textId="627F7940" w:rsidR="00712DC9" w:rsidRPr="00A608A8" w:rsidRDefault="00712DC9" w:rsidP="00712DC9">
            <w:pPr>
              <w:jc w:val="center"/>
              <w:rPr>
                <w:rFonts w:ascii="Arial" w:hAnsi="Arial" w:cs="Arial"/>
              </w:rPr>
            </w:pPr>
            <w:r w:rsidRPr="00A608A8">
              <w:rPr>
                <w:rFonts w:ascii="Arial" w:hAnsi="Arial" w:cs="Arial"/>
              </w:rPr>
              <w:t>$35,981.00</w:t>
            </w:r>
          </w:p>
        </w:tc>
      </w:tr>
      <w:tr w:rsidR="00712DC9" w:rsidRPr="00C865F8" w14:paraId="5F0922DD" w14:textId="77777777" w:rsidTr="00827C2F">
        <w:trPr>
          <w:trHeight w:val="268"/>
        </w:trPr>
        <w:tc>
          <w:tcPr>
            <w:tcW w:w="9219" w:type="dxa"/>
            <w:gridSpan w:val="4"/>
            <w:shd w:val="clear" w:color="auto" w:fill="D9D9D9" w:themeFill="background1" w:themeFillShade="D9"/>
            <w:vAlign w:val="center"/>
          </w:tcPr>
          <w:p w14:paraId="6950E25E" w14:textId="77777777" w:rsidR="00712DC9" w:rsidRPr="00A608A8" w:rsidRDefault="00712DC9" w:rsidP="00827C2F">
            <w:pPr>
              <w:jc w:val="center"/>
              <w:rPr>
                <w:rFonts w:ascii="Arial" w:hAnsi="Arial" w:cs="Arial"/>
                <w:b/>
                <w:bCs/>
              </w:rPr>
            </w:pPr>
            <w:r w:rsidRPr="00A608A8">
              <w:rPr>
                <w:rFonts w:ascii="Arial" w:hAnsi="Arial" w:cs="Arial"/>
                <w:b/>
                <w:bCs/>
              </w:rPr>
              <w:t>PROPUESTA DE REGLAMENTO</w:t>
            </w:r>
          </w:p>
        </w:tc>
      </w:tr>
      <w:tr w:rsidR="00712DC9" w:rsidRPr="00C865F8" w14:paraId="3A791570" w14:textId="77777777" w:rsidTr="00827C2F">
        <w:trPr>
          <w:trHeight w:val="268"/>
        </w:trPr>
        <w:tc>
          <w:tcPr>
            <w:tcW w:w="1998" w:type="dxa"/>
            <w:shd w:val="clear" w:color="auto" w:fill="F2F2F2" w:themeFill="background1" w:themeFillShade="F2"/>
            <w:vAlign w:val="center"/>
          </w:tcPr>
          <w:p w14:paraId="7C8B55A4" w14:textId="77777777" w:rsidR="00712DC9" w:rsidRPr="00A608A8" w:rsidRDefault="00712DC9" w:rsidP="00827C2F">
            <w:pPr>
              <w:jc w:val="center"/>
              <w:rPr>
                <w:rFonts w:ascii="Arial" w:hAnsi="Arial" w:cs="Arial"/>
              </w:rPr>
            </w:pPr>
            <w:r w:rsidRPr="00A608A8">
              <w:rPr>
                <w:rFonts w:ascii="Arial" w:hAnsi="Arial" w:cs="Arial"/>
                <w:b/>
                <w:bCs/>
              </w:rPr>
              <w:t>Dirección</w:t>
            </w:r>
          </w:p>
        </w:tc>
        <w:tc>
          <w:tcPr>
            <w:tcW w:w="2343" w:type="dxa"/>
            <w:shd w:val="clear" w:color="auto" w:fill="F2F2F2" w:themeFill="background1" w:themeFillShade="F2"/>
            <w:vAlign w:val="center"/>
          </w:tcPr>
          <w:p w14:paraId="08618139" w14:textId="77777777" w:rsidR="00712DC9" w:rsidRPr="00A608A8" w:rsidRDefault="00712DC9" w:rsidP="00827C2F">
            <w:pPr>
              <w:jc w:val="center"/>
              <w:rPr>
                <w:rFonts w:ascii="Arial" w:hAnsi="Arial" w:cs="Arial"/>
              </w:rPr>
            </w:pPr>
            <w:r w:rsidRPr="00A608A8">
              <w:rPr>
                <w:rFonts w:ascii="Arial" w:hAnsi="Arial" w:cs="Arial"/>
                <w:b/>
                <w:bCs/>
              </w:rPr>
              <w:t>Área de Adscripción</w:t>
            </w:r>
          </w:p>
        </w:tc>
        <w:tc>
          <w:tcPr>
            <w:tcW w:w="2959" w:type="dxa"/>
            <w:shd w:val="clear" w:color="auto" w:fill="F2F2F2" w:themeFill="background1" w:themeFillShade="F2"/>
            <w:vAlign w:val="center"/>
          </w:tcPr>
          <w:p w14:paraId="1FA718F0" w14:textId="77777777" w:rsidR="00712DC9" w:rsidRPr="00A608A8" w:rsidRDefault="00712DC9" w:rsidP="00827C2F">
            <w:pPr>
              <w:jc w:val="center"/>
              <w:rPr>
                <w:rFonts w:ascii="Arial" w:hAnsi="Arial" w:cs="Arial"/>
              </w:rPr>
            </w:pPr>
            <w:r w:rsidRPr="00A608A8">
              <w:rPr>
                <w:rFonts w:ascii="Arial" w:hAnsi="Arial" w:cs="Arial"/>
                <w:b/>
                <w:bCs/>
              </w:rPr>
              <w:t>Nombramiento</w:t>
            </w:r>
          </w:p>
        </w:tc>
        <w:tc>
          <w:tcPr>
            <w:tcW w:w="1919" w:type="dxa"/>
            <w:shd w:val="clear" w:color="auto" w:fill="F2F2F2" w:themeFill="background1" w:themeFillShade="F2"/>
            <w:vAlign w:val="center"/>
          </w:tcPr>
          <w:p w14:paraId="68746FA0" w14:textId="77777777" w:rsidR="00712DC9" w:rsidRPr="00A608A8" w:rsidRDefault="00712DC9" w:rsidP="00827C2F">
            <w:pPr>
              <w:jc w:val="center"/>
              <w:rPr>
                <w:rFonts w:ascii="Arial" w:hAnsi="Arial" w:cs="Arial"/>
                <w:b/>
                <w:bCs/>
              </w:rPr>
            </w:pPr>
          </w:p>
          <w:p w14:paraId="55EB2F0E" w14:textId="77777777" w:rsidR="00712DC9" w:rsidRPr="00A608A8" w:rsidRDefault="00712DC9" w:rsidP="00827C2F">
            <w:pPr>
              <w:jc w:val="center"/>
              <w:rPr>
                <w:rFonts w:ascii="Arial" w:hAnsi="Arial" w:cs="Arial"/>
              </w:rPr>
            </w:pPr>
            <w:r w:rsidRPr="00A608A8">
              <w:rPr>
                <w:rFonts w:ascii="Arial" w:hAnsi="Arial" w:cs="Arial"/>
                <w:b/>
                <w:bCs/>
              </w:rPr>
              <w:t>Sueldo Bruto</w:t>
            </w:r>
          </w:p>
        </w:tc>
      </w:tr>
      <w:tr w:rsidR="00712DC9" w:rsidRPr="00C865F8" w14:paraId="1E86970D" w14:textId="77777777" w:rsidTr="00827C2F">
        <w:trPr>
          <w:trHeight w:val="268"/>
        </w:trPr>
        <w:tc>
          <w:tcPr>
            <w:tcW w:w="1998" w:type="dxa"/>
            <w:vAlign w:val="center"/>
          </w:tcPr>
          <w:p w14:paraId="52382C00" w14:textId="0D4E2DB7" w:rsidR="00712DC9" w:rsidRPr="00A608A8" w:rsidRDefault="00712DC9" w:rsidP="00712DC9">
            <w:pPr>
              <w:jc w:val="center"/>
              <w:rPr>
                <w:rFonts w:ascii="Arial" w:hAnsi="Arial" w:cs="Arial"/>
              </w:rPr>
            </w:pPr>
            <w:r w:rsidRPr="00A608A8">
              <w:rPr>
                <w:rFonts w:ascii="Arial" w:hAnsi="Arial" w:cs="Arial"/>
              </w:rPr>
              <w:t xml:space="preserve">Dirección General </w:t>
            </w:r>
          </w:p>
        </w:tc>
        <w:tc>
          <w:tcPr>
            <w:tcW w:w="2343" w:type="dxa"/>
            <w:vAlign w:val="center"/>
          </w:tcPr>
          <w:p w14:paraId="4FFCCC53" w14:textId="46AB32E7" w:rsidR="00712DC9" w:rsidRPr="00A608A8" w:rsidRDefault="00712DC9" w:rsidP="00712DC9">
            <w:pPr>
              <w:jc w:val="center"/>
              <w:rPr>
                <w:rFonts w:ascii="Arial" w:hAnsi="Arial" w:cs="Arial"/>
              </w:rPr>
            </w:pPr>
            <w:r w:rsidRPr="00A608A8">
              <w:rPr>
                <w:rFonts w:ascii="Arial" w:hAnsi="Arial" w:cs="Arial"/>
              </w:rPr>
              <w:t xml:space="preserve">Dirección General </w:t>
            </w:r>
          </w:p>
        </w:tc>
        <w:tc>
          <w:tcPr>
            <w:tcW w:w="2959" w:type="dxa"/>
            <w:vAlign w:val="center"/>
          </w:tcPr>
          <w:p w14:paraId="30375B34" w14:textId="430A9EF7" w:rsidR="00712DC9" w:rsidRPr="00A608A8" w:rsidRDefault="00712DC9" w:rsidP="00712DC9">
            <w:pPr>
              <w:jc w:val="center"/>
              <w:rPr>
                <w:rFonts w:ascii="Arial" w:hAnsi="Arial" w:cs="Arial"/>
              </w:rPr>
            </w:pPr>
            <w:r w:rsidRPr="00A608A8">
              <w:rPr>
                <w:rFonts w:ascii="Arial" w:hAnsi="Arial" w:cs="Arial"/>
              </w:rPr>
              <w:t>Consejería Jurídica y titular de la unidad de transparencia.</w:t>
            </w:r>
          </w:p>
        </w:tc>
        <w:tc>
          <w:tcPr>
            <w:tcW w:w="1919" w:type="dxa"/>
            <w:vAlign w:val="center"/>
          </w:tcPr>
          <w:p w14:paraId="56B2A591" w14:textId="64FA39E4" w:rsidR="00712DC9" w:rsidRPr="00A608A8" w:rsidRDefault="00712DC9" w:rsidP="00712DC9">
            <w:pPr>
              <w:jc w:val="center"/>
              <w:rPr>
                <w:rFonts w:ascii="Arial" w:hAnsi="Arial" w:cs="Arial"/>
              </w:rPr>
            </w:pPr>
            <w:r w:rsidRPr="00A608A8">
              <w:rPr>
                <w:rFonts w:ascii="Arial" w:hAnsi="Arial" w:cs="Arial"/>
              </w:rPr>
              <w:t>$ 43,957</w:t>
            </w:r>
          </w:p>
        </w:tc>
      </w:tr>
    </w:tbl>
    <w:p w14:paraId="4A2493DD" w14:textId="78496B1C" w:rsidR="00154A31" w:rsidRDefault="00154A31" w:rsidP="006A1821">
      <w:pPr>
        <w:jc w:val="both"/>
        <w:rPr>
          <w:rFonts w:ascii="Arial" w:hAnsi="Arial" w:cs="Arial"/>
          <w:sz w:val="24"/>
          <w:szCs w:val="24"/>
        </w:rPr>
      </w:pPr>
    </w:p>
    <w:p w14:paraId="339F0B9B" w14:textId="08D5237B" w:rsidR="00154A31" w:rsidRDefault="006A1821" w:rsidP="00D207F4">
      <w:pPr>
        <w:ind w:left="360"/>
        <w:jc w:val="both"/>
        <w:rPr>
          <w:rFonts w:ascii="Arial" w:hAnsi="Arial" w:cs="Arial"/>
          <w:sz w:val="24"/>
          <w:szCs w:val="24"/>
        </w:rPr>
      </w:pPr>
      <w:r>
        <w:rPr>
          <w:rFonts w:ascii="Arial" w:hAnsi="Arial" w:cs="Arial"/>
          <w:sz w:val="24"/>
          <w:szCs w:val="24"/>
        </w:rPr>
        <w:t xml:space="preserve">Cabe resaltar que no se modifican los horarios de los puestos antes mencionados. </w:t>
      </w:r>
    </w:p>
    <w:p w14:paraId="2E484F60" w14:textId="77777777" w:rsidR="00D47D30" w:rsidRDefault="00D47D30" w:rsidP="006A1821">
      <w:pPr>
        <w:tabs>
          <w:tab w:val="left" w:pos="2993"/>
        </w:tabs>
        <w:ind w:left="360"/>
        <w:jc w:val="both"/>
        <w:rPr>
          <w:rFonts w:ascii="Arial" w:hAnsi="Arial" w:cs="Arial"/>
          <w:sz w:val="24"/>
          <w:szCs w:val="24"/>
        </w:rPr>
      </w:pPr>
    </w:p>
    <w:p w14:paraId="2459A758" w14:textId="77777777" w:rsidR="00D47D30" w:rsidRDefault="00D47D30" w:rsidP="006A1821">
      <w:pPr>
        <w:tabs>
          <w:tab w:val="left" w:pos="2993"/>
        </w:tabs>
        <w:ind w:left="360"/>
        <w:jc w:val="both"/>
        <w:rPr>
          <w:rFonts w:ascii="Arial" w:hAnsi="Arial" w:cs="Arial"/>
          <w:sz w:val="24"/>
          <w:szCs w:val="24"/>
        </w:rPr>
      </w:pPr>
    </w:p>
    <w:p w14:paraId="1EE39D38" w14:textId="77777777" w:rsidR="00D47D30" w:rsidRDefault="00D47D30" w:rsidP="006A1821">
      <w:pPr>
        <w:tabs>
          <w:tab w:val="left" w:pos="2993"/>
        </w:tabs>
        <w:ind w:left="360"/>
        <w:jc w:val="both"/>
        <w:rPr>
          <w:rFonts w:ascii="Arial" w:hAnsi="Arial" w:cs="Arial"/>
          <w:sz w:val="24"/>
          <w:szCs w:val="24"/>
        </w:rPr>
      </w:pPr>
    </w:p>
    <w:p w14:paraId="026BC3A1" w14:textId="77777777" w:rsidR="00D47D30" w:rsidRDefault="00D47D30" w:rsidP="006A1821">
      <w:pPr>
        <w:tabs>
          <w:tab w:val="left" w:pos="2993"/>
        </w:tabs>
        <w:ind w:left="360"/>
        <w:jc w:val="both"/>
        <w:rPr>
          <w:rFonts w:ascii="Arial" w:hAnsi="Arial" w:cs="Arial"/>
          <w:sz w:val="24"/>
          <w:szCs w:val="24"/>
        </w:rPr>
      </w:pPr>
    </w:p>
    <w:p w14:paraId="5FE249A3" w14:textId="77777777" w:rsidR="00D47D30" w:rsidRDefault="00D47D30" w:rsidP="006A1821">
      <w:pPr>
        <w:tabs>
          <w:tab w:val="left" w:pos="2993"/>
        </w:tabs>
        <w:ind w:left="360"/>
        <w:jc w:val="both"/>
        <w:rPr>
          <w:rFonts w:ascii="Arial" w:hAnsi="Arial" w:cs="Arial"/>
          <w:sz w:val="24"/>
          <w:szCs w:val="24"/>
        </w:rPr>
      </w:pPr>
    </w:p>
    <w:p w14:paraId="53ECD621" w14:textId="77777777" w:rsidR="00D47D30" w:rsidRDefault="00D47D30" w:rsidP="006A1821">
      <w:pPr>
        <w:tabs>
          <w:tab w:val="left" w:pos="2993"/>
        </w:tabs>
        <w:ind w:left="360"/>
        <w:jc w:val="both"/>
        <w:rPr>
          <w:rFonts w:ascii="Arial" w:hAnsi="Arial" w:cs="Arial"/>
          <w:sz w:val="24"/>
          <w:szCs w:val="24"/>
        </w:rPr>
      </w:pPr>
    </w:p>
    <w:p w14:paraId="0126F41E" w14:textId="77777777" w:rsidR="00D47D30" w:rsidRDefault="00D47D30" w:rsidP="006A1821">
      <w:pPr>
        <w:tabs>
          <w:tab w:val="left" w:pos="2993"/>
        </w:tabs>
        <w:ind w:left="360"/>
        <w:jc w:val="both"/>
        <w:rPr>
          <w:rFonts w:ascii="Arial" w:hAnsi="Arial" w:cs="Arial"/>
          <w:sz w:val="24"/>
          <w:szCs w:val="24"/>
        </w:rPr>
      </w:pPr>
    </w:p>
    <w:p w14:paraId="342C6ACA" w14:textId="77777777" w:rsidR="00D47D30" w:rsidRDefault="00D47D30" w:rsidP="006A1821">
      <w:pPr>
        <w:tabs>
          <w:tab w:val="left" w:pos="2993"/>
        </w:tabs>
        <w:ind w:left="360"/>
        <w:jc w:val="both"/>
        <w:rPr>
          <w:rFonts w:ascii="Arial" w:hAnsi="Arial" w:cs="Arial"/>
          <w:sz w:val="24"/>
          <w:szCs w:val="24"/>
        </w:rPr>
      </w:pPr>
    </w:p>
    <w:p w14:paraId="369203DB" w14:textId="77777777" w:rsidR="00D47D30" w:rsidRDefault="00D47D30" w:rsidP="006A1821">
      <w:pPr>
        <w:tabs>
          <w:tab w:val="left" w:pos="2993"/>
        </w:tabs>
        <w:ind w:left="360"/>
        <w:jc w:val="both"/>
        <w:rPr>
          <w:rFonts w:ascii="Arial" w:hAnsi="Arial" w:cs="Arial"/>
          <w:sz w:val="24"/>
          <w:szCs w:val="24"/>
        </w:rPr>
      </w:pPr>
    </w:p>
    <w:p w14:paraId="2227894B" w14:textId="77777777" w:rsidR="00D47D30" w:rsidRDefault="00D47D30" w:rsidP="006A1821">
      <w:pPr>
        <w:tabs>
          <w:tab w:val="left" w:pos="2993"/>
        </w:tabs>
        <w:ind w:left="360"/>
        <w:jc w:val="both"/>
        <w:rPr>
          <w:rFonts w:ascii="Arial" w:hAnsi="Arial" w:cs="Arial"/>
          <w:sz w:val="24"/>
          <w:szCs w:val="24"/>
        </w:rPr>
      </w:pPr>
    </w:p>
    <w:p w14:paraId="390EE75A" w14:textId="77777777" w:rsidR="00D47D30" w:rsidRDefault="00D47D30" w:rsidP="006A1821">
      <w:pPr>
        <w:tabs>
          <w:tab w:val="left" w:pos="2993"/>
        </w:tabs>
        <w:ind w:left="360"/>
        <w:jc w:val="both"/>
        <w:rPr>
          <w:rFonts w:ascii="Arial" w:hAnsi="Arial" w:cs="Arial"/>
          <w:sz w:val="24"/>
          <w:szCs w:val="24"/>
        </w:rPr>
      </w:pPr>
    </w:p>
    <w:p w14:paraId="04054750" w14:textId="77777777" w:rsidR="00D47D30" w:rsidRDefault="00D47D30" w:rsidP="006A1821">
      <w:pPr>
        <w:tabs>
          <w:tab w:val="left" w:pos="2993"/>
        </w:tabs>
        <w:ind w:left="360"/>
        <w:jc w:val="both"/>
        <w:rPr>
          <w:rFonts w:ascii="Arial" w:hAnsi="Arial" w:cs="Arial"/>
          <w:sz w:val="24"/>
          <w:szCs w:val="24"/>
        </w:rPr>
      </w:pPr>
    </w:p>
    <w:p w14:paraId="26333300" w14:textId="77777777" w:rsidR="00D47D30" w:rsidRDefault="00D47D30" w:rsidP="006A1821">
      <w:pPr>
        <w:tabs>
          <w:tab w:val="left" w:pos="2993"/>
        </w:tabs>
        <w:ind w:left="360"/>
        <w:jc w:val="both"/>
        <w:rPr>
          <w:rFonts w:ascii="Arial" w:hAnsi="Arial" w:cs="Arial"/>
          <w:sz w:val="24"/>
          <w:szCs w:val="24"/>
        </w:rPr>
      </w:pPr>
    </w:p>
    <w:p w14:paraId="2E49D0E4" w14:textId="77777777" w:rsidR="00D47D30" w:rsidRDefault="00D47D30" w:rsidP="006A1821">
      <w:pPr>
        <w:tabs>
          <w:tab w:val="left" w:pos="2993"/>
        </w:tabs>
        <w:ind w:left="360"/>
        <w:jc w:val="both"/>
        <w:rPr>
          <w:rFonts w:ascii="Arial" w:hAnsi="Arial" w:cs="Arial"/>
          <w:sz w:val="24"/>
          <w:szCs w:val="24"/>
        </w:rPr>
      </w:pPr>
    </w:p>
    <w:p w14:paraId="7BBEDCA5" w14:textId="77777777" w:rsidR="00D47D30" w:rsidRDefault="00D47D30" w:rsidP="006A1821">
      <w:pPr>
        <w:tabs>
          <w:tab w:val="left" w:pos="2993"/>
        </w:tabs>
        <w:ind w:left="360"/>
        <w:jc w:val="both"/>
        <w:rPr>
          <w:rFonts w:ascii="Arial" w:hAnsi="Arial" w:cs="Arial"/>
          <w:sz w:val="24"/>
          <w:szCs w:val="24"/>
        </w:rPr>
      </w:pPr>
    </w:p>
    <w:p w14:paraId="44D52032" w14:textId="77777777" w:rsidR="00D47D30" w:rsidRDefault="00D47D30" w:rsidP="006A1821">
      <w:pPr>
        <w:tabs>
          <w:tab w:val="left" w:pos="2993"/>
        </w:tabs>
        <w:ind w:left="360"/>
        <w:jc w:val="both"/>
        <w:rPr>
          <w:rFonts w:ascii="Arial" w:hAnsi="Arial" w:cs="Arial"/>
          <w:sz w:val="24"/>
          <w:szCs w:val="24"/>
        </w:rPr>
      </w:pPr>
    </w:p>
    <w:p w14:paraId="37945146" w14:textId="77777777" w:rsidR="00D47D30" w:rsidRDefault="00D47D30" w:rsidP="006A1821">
      <w:pPr>
        <w:tabs>
          <w:tab w:val="left" w:pos="2993"/>
        </w:tabs>
        <w:ind w:left="360"/>
        <w:jc w:val="both"/>
        <w:rPr>
          <w:rFonts w:ascii="Arial" w:hAnsi="Arial" w:cs="Arial"/>
          <w:sz w:val="24"/>
          <w:szCs w:val="24"/>
        </w:rPr>
      </w:pPr>
    </w:p>
    <w:p w14:paraId="79695781" w14:textId="77777777" w:rsidR="00D47D30" w:rsidRDefault="00D47D30" w:rsidP="006A1821">
      <w:pPr>
        <w:tabs>
          <w:tab w:val="left" w:pos="2993"/>
        </w:tabs>
        <w:ind w:left="360"/>
        <w:jc w:val="both"/>
        <w:rPr>
          <w:rFonts w:ascii="Arial" w:hAnsi="Arial" w:cs="Arial"/>
          <w:sz w:val="24"/>
          <w:szCs w:val="24"/>
        </w:rPr>
      </w:pPr>
    </w:p>
    <w:p w14:paraId="7904F768" w14:textId="4FFEB4C2" w:rsidR="00154A31" w:rsidRDefault="006A1821" w:rsidP="006A1821">
      <w:pPr>
        <w:tabs>
          <w:tab w:val="left" w:pos="2993"/>
        </w:tabs>
        <w:ind w:left="360"/>
        <w:jc w:val="both"/>
        <w:rPr>
          <w:rFonts w:ascii="Arial" w:hAnsi="Arial" w:cs="Arial"/>
          <w:sz w:val="24"/>
          <w:szCs w:val="24"/>
        </w:rPr>
      </w:pPr>
      <w:r>
        <w:rPr>
          <w:rFonts w:ascii="Arial" w:hAnsi="Arial" w:cs="Arial"/>
          <w:sz w:val="24"/>
          <w:szCs w:val="24"/>
        </w:rPr>
        <w:lastRenderedPageBreak/>
        <w:t xml:space="preserve">De igual forma se anexa un par de organigramas estructurales de los cambios reglamentarios. </w:t>
      </w:r>
    </w:p>
    <w:p w14:paraId="7118312C" w14:textId="48246BDA" w:rsidR="006A1821" w:rsidRDefault="006A1821" w:rsidP="006A1821">
      <w:pPr>
        <w:tabs>
          <w:tab w:val="left" w:pos="2993"/>
        </w:tabs>
        <w:ind w:left="360"/>
        <w:jc w:val="both"/>
        <w:rPr>
          <w:rFonts w:ascii="Arial" w:hAnsi="Arial" w:cs="Arial"/>
          <w:sz w:val="24"/>
          <w:szCs w:val="24"/>
        </w:rPr>
      </w:pPr>
    </w:p>
    <w:p w14:paraId="384A5C18" w14:textId="2308C1BF" w:rsidR="006A1821" w:rsidRPr="006A1821" w:rsidRDefault="006A1821" w:rsidP="006A1821">
      <w:pPr>
        <w:tabs>
          <w:tab w:val="left" w:pos="2993"/>
        </w:tabs>
        <w:ind w:left="360"/>
        <w:jc w:val="both"/>
        <w:rPr>
          <w:rFonts w:ascii="Arial" w:hAnsi="Arial" w:cs="Arial"/>
          <w:b/>
          <w:bCs/>
          <w:sz w:val="24"/>
          <w:szCs w:val="24"/>
        </w:rPr>
      </w:pPr>
      <w:r w:rsidRPr="006A1821">
        <w:rPr>
          <w:rFonts w:ascii="Arial" w:hAnsi="Arial" w:cs="Arial"/>
          <w:b/>
          <w:bCs/>
          <w:sz w:val="24"/>
          <w:szCs w:val="24"/>
        </w:rPr>
        <w:t xml:space="preserve">Propuesta de Reglamento. </w:t>
      </w:r>
    </w:p>
    <w:p w14:paraId="7BC77ED5" w14:textId="21FD8452" w:rsidR="00154A31" w:rsidRDefault="00353B83" w:rsidP="006A1821">
      <w:pPr>
        <w:tabs>
          <w:tab w:val="left" w:pos="2993"/>
        </w:tabs>
        <w:ind w:left="360"/>
        <w:jc w:val="both"/>
        <w:rPr>
          <w:rFonts w:ascii="Arial" w:hAnsi="Arial" w:cs="Arial"/>
          <w:sz w:val="24"/>
          <w:szCs w:val="24"/>
        </w:rPr>
      </w:pPr>
      <w:r>
        <w:rPr>
          <w:rFonts w:ascii="Arial" w:hAnsi="Arial" w:cs="Arial"/>
          <w:noProof/>
          <w:sz w:val="24"/>
          <w:szCs w:val="24"/>
        </w:rPr>
        <w:drawing>
          <wp:anchor distT="0" distB="0" distL="114300" distR="114300" simplePos="0" relativeHeight="251658240" behindDoc="1" locked="0" layoutInCell="1" allowOverlap="1" wp14:anchorId="297D06E8" wp14:editId="0161768C">
            <wp:simplePos x="0" y="0"/>
            <wp:positionH relativeFrom="margin">
              <wp:posOffset>-358140</wp:posOffset>
            </wp:positionH>
            <wp:positionV relativeFrom="paragraph">
              <wp:posOffset>145415</wp:posOffset>
            </wp:positionV>
            <wp:extent cx="6329045" cy="2599690"/>
            <wp:effectExtent l="0" t="0" r="0" b="0"/>
            <wp:wrapTight wrapText="bothSides">
              <wp:wrapPolygon edited="0">
                <wp:start x="8842" y="3007"/>
                <wp:lineTo x="8647" y="3799"/>
                <wp:lineTo x="8582" y="8389"/>
                <wp:lineTo x="1625" y="10447"/>
                <wp:lineTo x="0" y="11238"/>
                <wp:lineTo x="0" y="16936"/>
                <wp:lineTo x="455" y="18361"/>
                <wp:lineTo x="21455" y="18361"/>
                <wp:lineTo x="21520" y="17727"/>
                <wp:lineTo x="21520" y="11396"/>
                <wp:lineTo x="19634" y="10605"/>
                <wp:lineTo x="12873" y="8389"/>
                <wp:lineTo x="12808" y="4590"/>
                <wp:lineTo x="12288" y="3007"/>
                <wp:lineTo x="8842" y="3007"/>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9045" cy="2599690"/>
                    </a:xfrm>
                    <a:prstGeom prst="rect">
                      <a:avLst/>
                    </a:prstGeom>
                    <a:noFill/>
                  </pic:spPr>
                </pic:pic>
              </a:graphicData>
            </a:graphic>
          </wp:anchor>
        </w:drawing>
      </w:r>
    </w:p>
    <w:p w14:paraId="5D4432ED" w14:textId="77777777" w:rsidR="006A1821" w:rsidRDefault="006A1821" w:rsidP="00D207F4">
      <w:pPr>
        <w:ind w:left="360"/>
        <w:jc w:val="both"/>
        <w:rPr>
          <w:rFonts w:ascii="Arial" w:hAnsi="Arial" w:cs="Arial"/>
          <w:b/>
          <w:bCs/>
          <w:sz w:val="24"/>
          <w:szCs w:val="24"/>
        </w:rPr>
      </w:pPr>
    </w:p>
    <w:p w14:paraId="0EEE26DB" w14:textId="77777777" w:rsidR="006A1821" w:rsidRDefault="006A1821" w:rsidP="00D207F4">
      <w:pPr>
        <w:ind w:left="360"/>
        <w:jc w:val="both"/>
        <w:rPr>
          <w:rFonts w:ascii="Arial" w:hAnsi="Arial" w:cs="Arial"/>
          <w:b/>
          <w:bCs/>
          <w:sz w:val="24"/>
          <w:szCs w:val="24"/>
        </w:rPr>
      </w:pPr>
    </w:p>
    <w:p w14:paraId="24DA69DA" w14:textId="77777777" w:rsidR="006A1821" w:rsidRDefault="006A1821" w:rsidP="00D207F4">
      <w:pPr>
        <w:ind w:left="360"/>
        <w:jc w:val="both"/>
        <w:rPr>
          <w:rFonts w:ascii="Arial" w:hAnsi="Arial" w:cs="Arial"/>
          <w:b/>
          <w:bCs/>
          <w:sz w:val="24"/>
          <w:szCs w:val="24"/>
        </w:rPr>
      </w:pPr>
    </w:p>
    <w:p w14:paraId="408B01A2" w14:textId="77777777" w:rsidR="006A1821" w:rsidRDefault="006A1821" w:rsidP="00D207F4">
      <w:pPr>
        <w:ind w:left="360"/>
        <w:jc w:val="both"/>
        <w:rPr>
          <w:rFonts w:ascii="Arial" w:hAnsi="Arial" w:cs="Arial"/>
          <w:b/>
          <w:bCs/>
          <w:sz w:val="24"/>
          <w:szCs w:val="24"/>
        </w:rPr>
      </w:pPr>
    </w:p>
    <w:p w14:paraId="0A8809DE" w14:textId="77777777" w:rsidR="006A1821" w:rsidRDefault="006A1821" w:rsidP="00D207F4">
      <w:pPr>
        <w:ind w:left="360"/>
        <w:jc w:val="both"/>
        <w:rPr>
          <w:rFonts w:ascii="Arial" w:hAnsi="Arial" w:cs="Arial"/>
          <w:b/>
          <w:bCs/>
          <w:sz w:val="24"/>
          <w:szCs w:val="24"/>
        </w:rPr>
      </w:pPr>
    </w:p>
    <w:p w14:paraId="37596E30" w14:textId="77777777" w:rsidR="006A1821" w:rsidRDefault="006A1821" w:rsidP="00D207F4">
      <w:pPr>
        <w:ind w:left="360"/>
        <w:jc w:val="both"/>
        <w:rPr>
          <w:rFonts w:ascii="Arial" w:hAnsi="Arial" w:cs="Arial"/>
          <w:b/>
          <w:bCs/>
          <w:sz w:val="24"/>
          <w:szCs w:val="24"/>
        </w:rPr>
      </w:pPr>
    </w:p>
    <w:p w14:paraId="75CB50DA" w14:textId="77777777" w:rsidR="006A1821" w:rsidRDefault="006A1821" w:rsidP="00D207F4">
      <w:pPr>
        <w:ind w:left="360"/>
        <w:jc w:val="both"/>
        <w:rPr>
          <w:rFonts w:ascii="Arial" w:hAnsi="Arial" w:cs="Arial"/>
          <w:b/>
          <w:bCs/>
          <w:sz w:val="24"/>
          <w:szCs w:val="24"/>
        </w:rPr>
      </w:pPr>
    </w:p>
    <w:p w14:paraId="05D978B2" w14:textId="08FE6470" w:rsidR="00154A31" w:rsidRPr="006A1821" w:rsidRDefault="00353B83" w:rsidP="006A1821">
      <w:pPr>
        <w:ind w:left="360"/>
        <w:jc w:val="both"/>
        <w:rPr>
          <w:rFonts w:ascii="Arial" w:hAnsi="Arial" w:cs="Arial"/>
          <w:b/>
          <w:bCs/>
          <w:sz w:val="24"/>
          <w:szCs w:val="24"/>
        </w:rPr>
      </w:pPr>
      <w:r>
        <w:rPr>
          <w:rFonts w:ascii="Arial" w:hAnsi="Arial" w:cs="Arial"/>
          <w:noProof/>
          <w:sz w:val="24"/>
          <w:szCs w:val="24"/>
        </w:rPr>
        <w:drawing>
          <wp:anchor distT="0" distB="0" distL="114300" distR="114300" simplePos="0" relativeHeight="251659264" behindDoc="1" locked="0" layoutInCell="1" allowOverlap="1" wp14:anchorId="0E8BB664" wp14:editId="4F269F6C">
            <wp:simplePos x="0" y="0"/>
            <wp:positionH relativeFrom="column">
              <wp:posOffset>-248285</wp:posOffset>
            </wp:positionH>
            <wp:positionV relativeFrom="paragraph">
              <wp:posOffset>283845</wp:posOffset>
            </wp:positionV>
            <wp:extent cx="5676900" cy="2336800"/>
            <wp:effectExtent l="0" t="0" r="0" b="0"/>
            <wp:wrapTight wrapText="bothSides">
              <wp:wrapPolygon edited="0">
                <wp:start x="8770" y="2993"/>
                <wp:lineTo x="8626" y="5635"/>
                <wp:lineTo x="8698" y="8980"/>
                <wp:lineTo x="2537" y="10213"/>
                <wp:lineTo x="0" y="11093"/>
                <wp:lineTo x="0" y="17080"/>
                <wp:lineTo x="362" y="18489"/>
                <wp:lineTo x="21528" y="18489"/>
                <wp:lineTo x="21528" y="12502"/>
                <wp:lineTo x="21383" y="11093"/>
                <wp:lineTo x="18991" y="10389"/>
                <wp:lineTo x="12902" y="8980"/>
                <wp:lineTo x="12830" y="4578"/>
                <wp:lineTo x="12322" y="2993"/>
                <wp:lineTo x="8770" y="2993"/>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76900" cy="2336800"/>
                    </a:xfrm>
                    <a:prstGeom prst="rect">
                      <a:avLst/>
                    </a:prstGeom>
                    <a:noFill/>
                  </pic:spPr>
                </pic:pic>
              </a:graphicData>
            </a:graphic>
            <wp14:sizeRelH relativeFrom="margin">
              <wp14:pctWidth>0</wp14:pctWidth>
            </wp14:sizeRelH>
            <wp14:sizeRelV relativeFrom="margin">
              <wp14:pctHeight>0</wp14:pctHeight>
            </wp14:sizeRelV>
          </wp:anchor>
        </w:drawing>
      </w:r>
      <w:r w:rsidR="006A1821" w:rsidRPr="006A1821">
        <w:rPr>
          <w:rFonts w:ascii="Arial" w:hAnsi="Arial" w:cs="Arial"/>
          <w:b/>
          <w:bCs/>
          <w:sz w:val="24"/>
          <w:szCs w:val="24"/>
        </w:rPr>
        <w:t xml:space="preserve">Plantilla Actual. </w:t>
      </w:r>
    </w:p>
    <w:p w14:paraId="7C0BC4DD" w14:textId="3C5B538D" w:rsidR="00154A31" w:rsidRDefault="00154A31" w:rsidP="00D207F4">
      <w:pPr>
        <w:ind w:left="360"/>
        <w:jc w:val="both"/>
        <w:rPr>
          <w:rFonts w:ascii="Arial" w:hAnsi="Arial" w:cs="Arial"/>
          <w:sz w:val="24"/>
          <w:szCs w:val="24"/>
        </w:rPr>
      </w:pPr>
    </w:p>
    <w:p w14:paraId="2093B8B6" w14:textId="5E21DC28" w:rsidR="00154A31" w:rsidRDefault="00154A31" w:rsidP="00D207F4">
      <w:pPr>
        <w:ind w:left="360"/>
        <w:jc w:val="both"/>
        <w:rPr>
          <w:rFonts w:ascii="Arial" w:hAnsi="Arial" w:cs="Arial"/>
          <w:sz w:val="24"/>
          <w:szCs w:val="24"/>
        </w:rPr>
      </w:pPr>
    </w:p>
    <w:p w14:paraId="5407D3A8" w14:textId="4B4FA7CD" w:rsidR="00154A31" w:rsidRDefault="00154A31" w:rsidP="00D207F4">
      <w:pPr>
        <w:ind w:left="360"/>
        <w:jc w:val="both"/>
        <w:rPr>
          <w:rFonts w:ascii="Arial" w:hAnsi="Arial" w:cs="Arial"/>
          <w:sz w:val="24"/>
          <w:szCs w:val="24"/>
        </w:rPr>
      </w:pPr>
    </w:p>
    <w:p w14:paraId="49E54029" w14:textId="7ADB32D1" w:rsidR="00154A31" w:rsidRDefault="00154A31" w:rsidP="00D207F4">
      <w:pPr>
        <w:ind w:left="360"/>
        <w:jc w:val="both"/>
        <w:rPr>
          <w:rFonts w:ascii="Arial" w:hAnsi="Arial" w:cs="Arial"/>
          <w:sz w:val="24"/>
          <w:szCs w:val="24"/>
        </w:rPr>
      </w:pPr>
    </w:p>
    <w:p w14:paraId="46397888" w14:textId="25D1D5F2" w:rsidR="00154A31" w:rsidRDefault="00154A31" w:rsidP="00D207F4">
      <w:pPr>
        <w:ind w:left="360"/>
        <w:jc w:val="both"/>
        <w:rPr>
          <w:rFonts w:ascii="Arial" w:hAnsi="Arial" w:cs="Arial"/>
          <w:sz w:val="24"/>
          <w:szCs w:val="24"/>
        </w:rPr>
      </w:pPr>
    </w:p>
    <w:p w14:paraId="30E3AF90" w14:textId="7E196496" w:rsidR="006A1821" w:rsidRDefault="006A1821" w:rsidP="006A1821">
      <w:pPr>
        <w:tabs>
          <w:tab w:val="left" w:pos="2993"/>
        </w:tabs>
        <w:jc w:val="both"/>
        <w:rPr>
          <w:rFonts w:ascii="Arial" w:hAnsi="Arial" w:cs="Arial"/>
          <w:sz w:val="24"/>
          <w:szCs w:val="24"/>
        </w:rPr>
      </w:pPr>
    </w:p>
    <w:p w14:paraId="2F34C388" w14:textId="163E07C2" w:rsidR="006A1821" w:rsidRDefault="006A1821" w:rsidP="006A1821">
      <w:pPr>
        <w:tabs>
          <w:tab w:val="left" w:pos="2993"/>
        </w:tabs>
        <w:jc w:val="both"/>
        <w:rPr>
          <w:rFonts w:ascii="Arial" w:hAnsi="Arial" w:cs="Arial"/>
          <w:sz w:val="24"/>
          <w:szCs w:val="24"/>
        </w:rPr>
      </w:pPr>
    </w:p>
    <w:p w14:paraId="64BC5EAA" w14:textId="29887AA6" w:rsidR="006A1821" w:rsidRDefault="006A1821" w:rsidP="006A1821">
      <w:pPr>
        <w:tabs>
          <w:tab w:val="left" w:pos="2993"/>
        </w:tabs>
        <w:jc w:val="both"/>
        <w:rPr>
          <w:rFonts w:ascii="Arial" w:hAnsi="Arial" w:cs="Arial"/>
          <w:sz w:val="24"/>
          <w:szCs w:val="24"/>
        </w:rPr>
      </w:pPr>
    </w:p>
    <w:p w14:paraId="261D51D3" w14:textId="77777777" w:rsidR="006A1821" w:rsidRDefault="006A1821" w:rsidP="006A1821">
      <w:pPr>
        <w:tabs>
          <w:tab w:val="left" w:pos="2993"/>
        </w:tabs>
        <w:jc w:val="both"/>
        <w:rPr>
          <w:rFonts w:ascii="Arial" w:hAnsi="Arial" w:cs="Arial"/>
          <w:sz w:val="24"/>
          <w:szCs w:val="24"/>
        </w:rPr>
      </w:pPr>
    </w:p>
    <w:p w14:paraId="29D2F2FE" w14:textId="77777777" w:rsidR="006A1821" w:rsidRPr="006A1821" w:rsidRDefault="006A1821" w:rsidP="006A1821">
      <w:pPr>
        <w:tabs>
          <w:tab w:val="left" w:pos="2993"/>
        </w:tabs>
        <w:ind w:left="360"/>
        <w:jc w:val="both"/>
        <w:rPr>
          <w:rFonts w:ascii="Arial" w:hAnsi="Arial" w:cs="Arial"/>
          <w:b/>
          <w:bCs/>
          <w:sz w:val="24"/>
          <w:szCs w:val="24"/>
        </w:rPr>
      </w:pPr>
      <w:r w:rsidRPr="006A1821">
        <w:rPr>
          <w:rFonts w:ascii="Arial" w:hAnsi="Arial" w:cs="Arial"/>
          <w:b/>
          <w:bCs/>
          <w:sz w:val="24"/>
          <w:szCs w:val="24"/>
        </w:rPr>
        <w:lastRenderedPageBreak/>
        <w:t xml:space="preserve">Propuesta de Reglamento. </w:t>
      </w:r>
    </w:p>
    <w:p w14:paraId="28389CDA" w14:textId="1EE62F2A" w:rsidR="00154A31" w:rsidRDefault="00154A31" w:rsidP="00D207F4">
      <w:pPr>
        <w:ind w:left="360"/>
        <w:jc w:val="both"/>
        <w:rPr>
          <w:rFonts w:ascii="Arial" w:hAnsi="Arial" w:cs="Arial"/>
          <w:sz w:val="24"/>
          <w:szCs w:val="24"/>
        </w:rPr>
      </w:pPr>
    </w:p>
    <w:p w14:paraId="7FAC1B2C" w14:textId="24E9DFBE" w:rsidR="00154A31" w:rsidRDefault="006A1821" w:rsidP="00D207F4">
      <w:pPr>
        <w:ind w:left="360"/>
        <w:jc w:val="both"/>
        <w:rPr>
          <w:rFonts w:ascii="Arial" w:hAnsi="Arial" w:cs="Arial"/>
          <w:sz w:val="24"/>
          <w:szCs w:val="24"/>
        </w:rPr>
      </w:pPr>
      <w:r>
        <w:rPr>
          <w:rFonts w:ascii="Arial" w:hAnsi="Arial" w:cs="Arial"/>
          <w:noProof/>
          <w:sz w:val="24"/>
          <w:szCs w:val="24"/>
        </w:rPr>
        <w:drawing>
          <wp:inline distT="0" distB="0" distL="0" distR="0" wp14:anchorId="3DAE1B35" wp14:editId="39545B04">
            <wp:extent cx="6224021" cy="1709530"/>
            <wp:effectExtent l="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35326" cy="1712635"/>
                    </a:xfrm>
                    <a:prstGeom prst="rect">
                      <a:avLst/>
                    </a:prstGeom>
                    <a:noFill/>
                  </pic:spPr>
                </pic:pic>
              </a:graphicData>
            </a:graphic>
          </wp:inline>
        </w:drawing>
      </w:r>
    </w:p>
    <w:p w14:paraId="4AF263B5" w14:textId="52FAE469" w:rsidR="00154A31" w:rsidRDefault="006A1821" w:rsidP="00D207F4">
      <w:pPr>
        <w:ind w:left="360"/>
        <w:jc w:val="both"/>
        <w:rPr>
          <w:rFonts w:ascii="Arial" w:hAnsi="Arial" w:cs="Arial"/>
          <w:sz w:val="24"/>
          <w:szCs w:val="24"/>
        </w:rPr>
      </w:pPr>
      <w:r w:rsidRPr="006A1821">
        <w:rPr>
          <w:rFonts w:ascii="Arial" w:hAnsi="Arial" w:cs="Arial"/>
          <w:b/>
          <w:bCs/>
          <w:sz w:val="24"/>
          <w:szCs w:val="24"/>
        </w:rPr>
        <w:t>Plantilla Actual.</w:t>
      </w:r>
    </w:p>
    <w:p w14:paraId="0F9B6DAE" w14:textId="58CB5E43" w:rsidR="00154A31" w:rsidRDefault="00154A31" w:rsidP="00D207F4">
      <w:pPr>
        <w:ind w:left="360"/>
        <w:jc w:val="both"/>
        <w:rPr>
          <w:rFonts w:ascii="Arial" w:hAnsi="Arial" w:cs="Arial"/>
          <w:sz w:val="24"/>
          <w:szCs w:val="24"/>
        </w:rPr>
      </w:pPr>
    </w:p>
    <w:p w14:paraId="0CEC1712" w14:textId="51DF5FD1" w:rsidR="00154A31" w:rsidRDefault="00154A31" w:rsidP="00D207F4">
      <w:pPr>
        <w:ind w:left="360"/>
        <w:jc w:val="both"/>
        <w:rPr>
          <w:rFonts w:ascii="Arial" w:hAnsi="Arial" w:cs="Arial"/>
          <w:sz w:val="24"/>
          <w:szCs w:val="24"/>
        </w:rPr>
      </w:pPr>
    </w:p>
    <w:p w14:paraId="544DA62F" w14:textId="016BAB06" w:rsidR="00154A31" w:rsidRDefault="006A1821" w:rsidP="00D207F4">
      <w:pPr>
        <w:ind w:left="360"/>
        <w:jc w:val="both"/>
        <w:rPr>
          <w:rFonts w:ascii="Arial" w:hAnsi="Arial" w:cs="Arial"/>
          <w:sz w:val="24"/>
          <w:szCs w:val="24"/>
        </w:rPr>
      </w:pPr>
      <w:r>
        <w:rPr>
          <w:rFonts w:ascii="Arial" w:hAnsi="Arial" w:cs="Arial"/>
          <w:noProof/>
          <w:sz w:val="24"/>
          <w:szCs w:val="24"/>
        </w:rPr>
        <w:drawing>
          <wp:anchor distT="0" distB="0" distL="114300" distR="114300" simplePos="0" relativeHeight="251660288" behindDoc="1" locked="0" layoutInCell="1" allowOverlap="1" wp14:anchorId="735A3C42" wp14:editId="4954E4E1">
            <wp:simplePos x="0" y="0"/>
            <wp:positionH relativeFrom="column">
              <wp:posOffset>144145</wp:posOffset>
            </wp:positionH>
            <wp:positionV relativeFrom="paragraph">
              <wp:posOffset>59690</wp:posOffset>
            </wp:positionV>
            <wp:extent cx="6106160" cy="2606675"/>
            <wp:effectExtent l="0" t="0" r="0" b="3175"/>
            <wp:wrapTight wrapText="bothSides">
              <wp:wrapPolygon edited="0">
                <wp:start x="4852" y="0"/>
                <wp:lineTo x="4717" y="789"/>
                <wp:lineTo x="4717" y="8682"/>
                <wp:lineTo x="7547" y="10103"/>
                <wp:lineTo x="7210" y="10419"/>
                <wp:lineTo x="7210" y="13891"/>
                <wp:lineTo x="7413" y="15154"/>
                <wp:lineTo x="5391" y="15943"/>
                <wp:lineTo x="4582" y="16575"/>
                <wp:lineTo x="4582" y="20206"/>
                <wp:lineTo x="4852" y="21468"/>
                <wp:lineTo x="4919" y="21468"/>
                <wp:lineTo x="14960" y="21468"/>
                <wp:lineTo x="15095" y="17680"/>
                <wp:lineTo x="15903" y="15154"/>
                <wp:lineTo x="15971" y="11050"/>
                <wp:lineTo x="15297" y="10103"/>
                <wp:lineTo x="14623" y="10103"/>
                <wp:lineTo x="15634" y="8366"/>
                <wp:lineTo x="15499" y="1105"/>
                <wp:lineTo x="15095" y="0"/>
                <wp:lineTo x="4852"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06160" cy="2606675"/>
                    </a:xfrm>
                    <a:prstGeom prst="rect">
                      <a:avLst/>
                    </a:prstGeom>
                    <a:noFill/>
                  </pic:spPr>
                </pic:pic>
              </a:graphicData>
            </a:graphic>
            <wp14:sizeRelH relativeFrom="margin">
              <wp14:pctWidth>0</wp14:pctWidth>
            </wp14:sizeRelH>
            <wp14:sizeRelV relativeFrom="margin">
              <wp14:pctHeight>0</wp14:pctHeight>
            </wp14:sizeRelV>
          </wp:anchor>
        </w:drawing>
      </w:r>
    </w:p>
    <w:p w14:paraId="45F1D3B8" w14:textId="09B5430A" w:rsidR="00154A31" w:rsidRDefault="00154A31" w:rsidP="00D207F4">
      <w:pPr>
        <w:ind w:left="360"/>
        <w:jc w:val="both"/>
        <w:rPr>
          <w:rFonts w:ascii="Arial" w:hAnsi="Arial" w:cs="Arial"/>
          <w:sz w:val="24"/>
          <w:szCs w:val="24"/>
        </w:rPr>
      </w:pPr>
    </w:p>
    <w:p w14:paraId="7DA8E518" w14:textId="77777777" w:rsidR="00E301F0" w:rsidRDefault="00E301F0" w:rsidP="00E301F0">
      <w:pPr>
        <w:jc w:val="both"/>
        <w:rPr>
          <w:rFonts w:ascii="Arial" w:hAnsi="Arial" w:cs="Arial"/>
          <w:bCs/>
          <w:sz w:val="24"/>
          <w:szCs w:val="24"/>
        </w:rPr>
      </w:pPr>
    </w:p>
    <w:p w14:paraId="5369C460" w14:textId="77777777" w:rsidR="00E301F0" w:rsidRDefault="00E301F0" w:rsidP="00E301F0">
      <w:pPr>
        <w:jc w:val="both"/>
        <w:rPr>
          <w:rFonts w:ascii="Arial" w:hAnsi="Arial" w:cs="Arial"/>
          <w:bCs/>
          <w:sz w:val="24"/>
          <w:szCs w:val="24"/>
        </w:rPr>
      </w:pPr>
    </w:p>
    <w:p w14:paraId="1B9F7E0E" w14:textId="77777777" w:rsidR="00E301F0" w:rsidRDefault="00E301F0" w:rsidP="00E301F0">
      <w:pPr>
        <w:jc w:val="both"/>
        <w:rPr>
          <w:rFonts w:ascii="Arial" w:hAnsi="Arial" w:cs="Arial"/>
          <w:bCs/>
          <w:sz w:val="24"/>
          <w:szCs w:val="24"/>
        </w:rPr>
      </w:pPr>
    </w:p>
    <w:p w14:paraId="50B39722" w14:textId="77777777" w:rsidR="00E301F0" w:rsidRDefault="00E301F0" w:rsidP="00E301F0">
      <w:pPr>
        <w:jc w:val="both"/>
        <w:rPr>
          <w:rFonts w:ascii="Arial" w:hAnsi="Arial" w:cs="Arial"/>
          <w:bCs/>
          <w:sz w:val="24"/>
          <w:szCs w:val="24"/>
        </w:rPr>
      </w:pPr>
    </w:p>
    <w:p w14:paraId="14B9C819" w14:textId="77777777" w:rsidR="00E301F0" w:rsidRDefault="00E301F0" w:rsidP="00E301F0">
      <w:pPr>
        <w:jc w:val="both"/>
        <w:rPr>
          <w:rFonts w:ascii="Arial" w:hAnsi="Arial" w:cs="Arial"/>
          <w:bCs/>
          <w:sz w:val="24"/>
          <w:szCs w:val="24"/>
        </w:rPr>
      </w:pPr>
    </w:p>
    <w:p w14:paraId="363E2B45" w14:textId="77777777" w:rsidR="00E301F0" w:rsidRDefault="00E301F0" w:rsidP="00E301F0">
      <w:pPr>
        <w:jc w:val="both"/>
        <w:rPr>
          <w:rFonts w:ascii="Arial" w:hAnsi="Arial" w:cs="Arial"/>
          <w:bCs/>
          <w:sz w:val="24"/>
          <w:szCs w:val="24"/>
        </w:rPr>
      </w:pPr>
    </w:p>
    <w:p w14:paraId="0A0EB4C9" w14:textId="77777777" w:rsidR="00E301F0" w:rsidRDefault="00E301F0" w:rsidP="00E301F0">
      <w:pPr>
        <w:jc w:val="both"/>
        <w:rPr>
          <w:rFonts w:ascii="Arial" w:hAnsi="Arial" w:cs="Arial"/>
          <w:bCs/>
          <w:sz w:val="24"/>
          <w:szCs w:val="24"/>
        </w:rPr>
      </w:pPr>
    </w:p>
    <w:p w14:paraId="713A37C4" w14:textId="77777777" w:rsidR="00E301F0" w:rsidRDefault="00E301F0" w:rsidP="00E301F0">
      <w:pPr>
        <w:jc w:val="both"/>
        <w:rPr>
          <w:rFonts w:ascii="Arial" w:hAnsi="Arial" w:cs="Arial"/>
          <w:bCs/>
          <w:sz w:val="24"/>
          <w:szCs w:val="24"/>
        </w:rPr>
      </w:pPr>
    </w:p>
    <w:p w14:paraId="617A559C" w14:textId="77777777" w:rsidR="00E301F0" w:rsidRDefault="00E301F0" w:rsidP="00E301F0">
      <w:pPr>
        <w:jc w:val="both"/>
        <w:rPr>
          <w:rFonts w:ascii="Arial" w:hAnsi="Arial" w:cs="Arial"/>
          <w:bCs/>
          <w:sz w:val="24"/>
          <w:szCs w:val="24"/>
        </w:rPr>
      </w:pPr>
    </w:p>
    <w:bookmarkEnd w:id="1"/>
    <w:p w14:paraId="2D3321CE" w14:textId="77777777" w:rsidR="00E301F0" w:rsidRDefault="00E301F0" w:rsidP="00E301F0">
      <w:pPr>
        <w:jc w:val="both"/>
        <w:rPr>
          <w:rFonts w:ascii="Arial" w:hAnsi="Arial" w:cs="Arial"/>
          <w:bCs/>
          <w:sz w:val="24"/>
          <w:szCs w:val="24"/>
        </w:rPr>
      </w:pPr>
    </w:p>
    <w:p w14:paraId="1DA4B767" w14:textId="77777777" w:rsidR="00E301F0" w:rsidRDefault="00E301F0" w:rsidP="00E301F0">
      <w:pPr>
        <w:jc w:val="both"/>
        <w:rPr>
          <w:rFonts w:ascii="Arial" w:hAnsi="Arial" w:cs="Arial"/>
          <w:bCs/>
          <w:sz w:val="24"/>
          <w:szCs w:val="24"/>
        </w:rPr>
      </w:pPr>
    </w:p>
    <w:bookmarkEnd w:id="0"/>
    <w:p w14:paraId="7F3A9484" w14:textId="77777777" w:rsidR="00E301F0" w:rsidRPr="00D207F4" w:rsidRDefault="00E301F0" w:rsidP="00D207F4">
      <w:pPr>
        <w:ind w:left="360"/>
        <w:jc w:val="both"/>
        <w:rPr>
          <w:rFonts w:ascii="Arial" w:hAnsi="Arial" w:cs="Arial"/>
          <w:sz w:val="24"/>
          <w:szCs w:val="24"/>
        </w:rPr>
      </w:pPr>
    </w:p>
    <w:sectPr w:rsidR="00E301F0" w:rsidRPr="00D207F4">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EEFAA" w14:textId="77777777" w:rsidR="00040134" w:rsidRDefault="00040134" w:rsidP="00FA3FE6">
      <w:pPr>
        <w:spacing w:after="0" w:line="240" w:lineRule="auto"/>
      </w:pPr>
      <w:r>
        <w:separator/>
      </w:r>
    </w:p>
  </w:endnote>
  <w:endnote w:type="continuationSeparator" w:id="0">
    <w:p w14:paraId="72B33871" w14:textId="77777777" w:rsidR="00040134" w:rsidRDefault="00040134" w:rsidP="00FA3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331795"/>
      <w:docPartObj>
        <w:docPartGallery w:val="Page Numbers (Bottom of Page)"/>
        <w:docPartUnique/>
      </w:docPartObj>
    </w:sdtPr>
    <w:sdtEndPr/>
    <w:sdtContent>
      <w:p w14:paraId="16B4FAD5" w14:textId="198F22A7" w:rsidR="00FA3FE6" w:rsidRDefault="00FA3FE6">
        <w:pPr>
          <w:pStyle w:val="Piedepgina"/>
          <w:jc w:val="center"/>
        </w:pPr>
        <w:r>
          <w:fldChar w:fldCharType="begin"/>
        </w:r>
        <w:r>
          <w:instrText>PAGE   \* MERGEFORMAT</w:instrText>
        </w:r>
        <w:r>
          <w:fldChar w:fldCharType="separate"/>
        </w:r>
        <w:r>
          <w:rPr>
            <w:lang w:val="es-ES"/>
          </w:rPr>
          <w:t>2</w:t>
        </w:r>
        <w:r>
          <w:fldChar w:fldCharType="end"/>
        </w:r>
        <w:r>
          <w:t xml:space="preserve"> de 12</w:t>
        </w:r>
      </w:p>
    </w:sdtContent>
  </w:sdt>
  <w:p w14:paraId="286394A5" w14:textId="77777777" w:rsidR="00FA3FE6" w:rsidRDefault="00FA3FE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08C0E" w14:textId="77777777" w:rsidR="00040134" w:rsidRDefault="00040134" w:rsidP="00FA3FE6">
      <w:pPr>
        <w:spacing w:after="0" w:line="240" w:lineRule="auto"/>
      </w:pPr>
      <w:r>
        <w:separator/>
      </w:r>
    </w:p>
  </w:footnote>
  <w:footnote w:type="continuationSeparator" w:id="0">
    <w:p w14:paraId="09C5DC23" w14:textId="77777777" w:rsidR="00040134" w:rsidRDefault="00040134" w:rsidP="00FA3F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273"/>
    </w:tblGrid>
    <w:tr w:rsidR="00FA3FE6" w14:paraId="7949E765" w14:textId="77777777" w:rsidTr="00FA3FE6">
      <w:tc>
        <w:tcPr>
          <w:tcW w:w="1555" w:type="dxa"/>
        </w:tcPr>
        <w:p w14:paraId="0387A375" w14:textId="77777777" w:rsidR="00FA3FE6" w:rsidRDefault="00FA3FE6">
          <w:pPr>
            <w:pStyle w:val="Encabezado"/>
          </w:pPr>
        </w:p>
      </w:tc>
      <w:tc>
        <w:tcPr>
          <w:tcW w:w="7273" w:type="dxa"/>
        </w:tcPr>
        <w:p w14:paraId="081350AD" w14:textId="77777777" w:rsidR="00FA3FE6" w:rsidRDefault="00FA3FE6" w:rsidP="00FA3FE6">
          <w:pPr>
            <w:pStyle w:val="Encabezado"/>
            <w:jc w:val="right"/>
            <w:rPr>
              <w:rFonts w:ascii="Arial" w:hAnsi="Arial" w:cs="Arial"/>
              <w:b/>
              <w:bCs/>
              <w:sz w:val="16"/>
              <w:szCs w:val="16"/>
            </w:rPr>
          </w:pPr>
          <w:r w:rsidRPr="00FA3FE6">
            <w:rPr>
              <w:rFonts w:ascii="Arial" w:hAnsi="Arial" w:cs="Arial"/>
              <w:b/>
              <w:bCs/>
              <w:sz w:val="16"/>
              <w:szCs w:val="16"/>
            </w:rPr>
            <w:t>IPEJAL Justificación de modificaciones a la organización interna</w:t>
          </w:r>
        </w:p>
        <w:p w14:paraId="05967D19" w14:textId="18C30832" w:rsidR="00FA3FE6" w:rsidRPr="00FA3FE6" w:rsidRDefault="00FA3FE6" w:rsidP="00FA3FE6">
          <w:pPr>
            <w:pStyle w:val="Encabezado"/>
            <w:jc w:val="right"/>
            <w:rPr>
              <w:rFonts w:ascii="Arial" w:hAnsi="Arial" w:cs="Arial"/>
              <w:b/>
              <w:bCs/>
              <w:sz w:val="16"/>
              <w:szCs w:val="16"/>
            </w:rPr>
          </w:pPr>
          <w:r>
            <w:rPr>
              <w:rFonts w:ascii="Arial" w:hAnsi="Arial" w:cs="Arial"/>
              <w:b/>
              <w:bCs/>
              <w:sz w:val="16"/>
              <w:szCs w:val="16"/>
            </w:rPr>
            <w:t>18 de junio 2021</w:t>
          </w:r>
        </w:p>
      </w:tc>
    </w:tr>
    <w:tr w:rsidR="00FA3FE6" w14:paraId="1C1CBD6F" w14:textId="77777777" w:rsidTr="00FA3FE6">
      <w:tc>
        <w:tcPr>
          <w:tcW w:w="1555" w:type="dxa"/>
        </w:tcPr>
        <w:p w14:paraId="233EFA31" w14:textId="77777777" w:rsidR="00FA3FE6" w:rsidRDefault="00FA3FE6">
          <w:pPr>
            <w:pStyle w:val="Encabezado"/>
          </w:pPr>
        </w:p>
      </w:tc>
      <w:tc>
        <w:tcPr>
          <w:tcW w:w="7273" w:type="dxa"/>
        </w:tcPr>
        <w:p w14:paraId="4210DDE0" w14:textId="77777777" w:rsidR="00FA3FE6" w:rsidRDefault="00FA3FE6">
          <w:pPr>
            <w:pStyle w:val="Encabezado"/>
          </w:pPr>
        </w:p>
      </w:tc>
    </w:tr>
  </w:tbl>
  <w:p w14:paraId="72223EF5" w14:textId="77777777" w:rsidR="00FA3FE6" w:rsidRDefault="00FA3FE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D4C7E"/>
    <w:multiLevelType w:val="hybridMultilevel"/>
    <w:tmpl w:val="AE325574"/>
    <w:lvl w:ilvl="0" w:tplc="080A000F">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369C2F31"/>
    <w:multiLevelType w:val="hybridMultilevel"/>
    <w:tmpl w:val="CAD4B15C"/>
    <w:lvl w:ilvl="0" w:tplc="8E5E18F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39C02F85"/>
    <w:multiLevelType w:val="hybridMultilevel"/>
    <w:tmpl w:val="898676C0"/>
    <w:lvl w:ilvl="0" w:tplc="080A0013">
      <w:start w:val="1"/>
      <w:numFmt w:val="upperRoman"/>
      <w:lvlText w:val="%1."/>
      <w:lvlJc w:val="right"/>
      <w:pPr>
        <w:ind w:left="1440" w:hanging="360"/>
      </w:pPr>
      <w:rPr>
        <w:rFonts w:cs="Times New Roman"/>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3" w15:restartNumberingAfterBreak="0">
    <w:nsid w:val="3F2F3F76"/>
    <w:multiLevelType w:val="hybridMultilevel"/>
    <w:tmpl w:val="A3DEE99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EC6EE3"/>
    <w:multiLevelType w:val="multilevel"/>
    <w:tmpl w:val="CA32696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73DA31FB"/>
    <w:multiLevelType w:val="hybridMultilevel"/>
    <w:tmpl w:val="804A3A7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63B134B"/>
    <w:multiLevelType w:val="hybridMultilevel"/>
    <w:tmpl w:val="9E5CC1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910"/>
    <w:rsid w:val="00040134"/>
    <w:rsid w:val="000C3059"/>
    <w:rsid w:val="000C3E51"/>
    <w:rsid w:val="000C7F2E"/>
    <w:rsid w:val="000D411B"/>
    <w:rsid w:val="000D5CEC"/>
    <w:rsid w:val="000E3334"/>
    <w:rsid w:val="00143D67"/>
    <w:rsid w:val="00153869"/>
    <w:rsid w:val="00154A31"/>
    <w:rsid w:val="00190906"/>
    <w:rsid w:val="001B241A"/>
    <w:rsid w:val="001C2A90"/>
    <w:rsid w:val="001E7F1E"/>
    <w:rsid w:val="00216C25"/>
    <w:rsid w:val="002D33B2"/>
    <w:rsid w:val="002D35B5"/>
    <w:rsid w:val="00305DD1"/>
    <w:rsid w:val="00353B83"/>
    <w:rsid w:val="00356FF8"/>
    <w:rsid w:val="0035725E"/>
    <w:rsid w:val="003844A6"/>
    <w:rsid w:val="00391E71"/>
    <w:rsid w:val="00420B66"/>
    <w:rsid w:val="00451822"/>
    <w:rsid w:val="0045680F"/>
    <w:rsid w:val="00456910"/>
    <w:rsid w:val="004E5C56"/>
    <w:rsid w:val="005E4D0A"/>
    <w:rsid w:val="005F52BF"/>
    <w:rsid w:val="00654A44"/>
    <w:rsid w:val="006A1821"/>
    <w:rsid w:val="006A76AE"/>
    <w:rsid w:val="006E2AD3"/>
    <w:rsid w:val="00712DC9"/>
    <w:rsid w:val="00753BC0"/>
    <w:rsid w:val="00763187"/>
    <w:rsid w:val="00777B73"/>
    <w:rsid w:val="007A091D"/>
    <w:rsid w:val="007C4D63"/>
    <w:rsid w:val="0082145B"/>
    <w:rsid w:val="00822FE6"/>
    <w:rsid w:val="00945703"/>
    <w:rsid w:val="00977223"/>
    <w:rsid w:val="00994D16"/>
    <w:rsid w:val="00996F89"/>
    <w:rsid w:val="009D5727"/>
    <w:rsid w:val="009F561D"/>
    <w:rsid w:val="00A608A8"/>
    <w:rsid w:val="00AB05AB"/>
    <w:rsid w:val="00AC6D5A"/>
    <w:rsid w:val="00AE5976"/>
    <w:rsid w:val="00AF4625"/>
    <w:rsid w:val="00B37A70"/>
    <w:rsid w:val="00B44478"/>
    <w:rsid w:val="00B8287E"/>
    <w:rsid w:val="00BA432E"/>
    <w:rsid w:val="00BA76AA"/>
    <w:rsid w:val="00BF35EA"/>
    <w:rsid w:val="00C46EED"/>
    <w:rsid w:val="00C71593"/>
    <w:rsid w:val="00C865F8"/>
    <w:rsid w:val="00CA01E8"/>
    <w:rsid w:val="00CB0275"/>
    <w:rsid w:val="00D207F4"/>
    <w:rsid w:val="00D24B91"/>
    <w:rsid w:val="00D34B73"/>
    <w:rsid w:val="00D47B49"/>
    <w:rsid w:val="00D47D30"/>
    <w:rsid w:val="00D57D87"/>
    <w:rsid w:val="00D77C36"/>
    <w:rsid w:val="00DB2B8B"/>
    <w:rsid w:val="00DB7F7D"/>
    <w:rsid w:val="00DD6550"/>
    <w:rsid w:val="00E301F0"/>
    <w:rsid w:val="00E413F9"/>
    <w:rsid w:val="00E54616"/>
    <w:rsid w:val="00E5559C"/>
    <w:rsid w:val="00EE6630"/>
    <w:rsid w:val="00F04A33"/>
    <w:rsid w:val="00F10C41"/>
    <w:rsid w:val="00F11872"/>
    <w:rsid w:val="00F26740"/>
    <w:rsid w:val="00F47104"/>
    <w:rsid w:val="00F81661"/>
    <w:rsid w:val="00FA3F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572C5"/>
  <w15:chartTrackingRefBased/>
  <w15:docId w15:val="{BBCD851F-E91A-4D0E-B5D9-739F8D36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22FE6"/>
    <w:pPr>
      <w:ind w:left="720"/>
      <w:contextualSpacing/>
    </w:pPr>
  </w:style>
  <w:style w:type="character" w:styleId="Refdecomentario">
    <w:name w:val="annotation reference"/>
    <w:basedOn w:val="Fuentedeprrafopredeter"/>
    <w:uiPriority w:val="99"/>
    <w:semiHidden/>
    <w:unhideWhenUsed/>
    <w:rsid w:val="00E5559C"/>
    <w:rPr>
      <w:sz w:val="16"/>
      <w:szCs w:val="16"/>
    </w:rPr>
  </w:style>
  <w:style w:type="paragraph" w:styleId="Textocomentario">
    <w:name w:val="annotation text"/>
    <w:basedOn w:val="Normal"/>
    <w:link w:val="TextocomentarioCar"/>
    <w:uiPriority w:val="99"/>
    <w:semiHidden/>
    <w:unhideWhenUsed/>
    <w:rsid w:val="00E5559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5559C"/>
    <w:rPr>
      <w:sz w:val="20"/>
      <w:szCs w:val="20"/>
    </w:rPr>
  </w:style>
  <w:style w:type="paragraph" w:styleId="Asuntodelcomentario">
    <w:name w:val="annotation subject"/>
    <w:basedOn w:val="Textocomentario"/>
    <w:next w:val="Textocomentario"/>
    <w:link w:val="AsuntodelcomentarioCar"/>
    <w:uiPriority w:val="99"/>
    <w:semiHidden/>
    <w:unhideWhenUsed/>
    <w:rsid w:val="00E5559C"/>
    <w:rPr>
      <w:b/>
      <w:bCs/>
    </w:rPr>
  </w:style>
  <w:style w:type="character" w:customStyle="1" w:styleId="AsuntodelcomentarioCar">
    <w:name w:val="Asunto del comentario Car"/>
    <w:basedOn w:val="TextocomentarioCar"/>
    <w:link w:val="Asuntodelcomentario"/>
    <w:uiPriority w:val="99"/>
    <w:semiHidden/>
    <w:rsid w:val="00E5559C"/>
    <w:rPr>
      <w:b/>
      <w:bCs/>
      <w:sz w:val="20"/>
      <w:szCs w:val="20"/>
    </w:rPr>
  </w:style>
  <w:style w:type="table" w:styleId="Tablaconcuadrcula">
    <w:name w:val="Table Grid"/>
    <w:basedOn w:val="Tablanormal"/>
    <w:uiPriority w:val="39"/>
    <w:rsid w:val="00F2674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FA3F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A3FE6"/>
  </w:style>
  <w:style w:type="paragraph" w:styleId="Piedepgina">
    <w:name w:val="footer"/>
    <w:basedOn w:val="Normal"/>
    <w:link w:val="PiedepginaCar"/>
    <w:uiPriority w:val="99"/>
    <w:unhideWhenUsed/>
    <w:rsid w:val="00FA3F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3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60756">
      <w:bodyDiv w:val="1"/>
      <w:marLeft w:val="0"/>
      <w:marRight w:val="0"/>
      <w:marTop w:val="0"/>
      <w:marBottom w:val="0"/>
      <w:divBdr>
        <w:top w:val="none" w:sz="0" w:space="0" w:color="auto"/>
        <w:left w:val="none" w:sz="0" w:space="0" w:color="auto"/>
        <w:bottom w:val="none" w:sz="0" w:space="0" w:color="auto"/>
        <w:right w:val="none" w:sz="0" w:space="0" w:color="auto"/>
      </w:divBdr>
    </w:div>
    <w:div w:id="249391835">
      <w:bodyDiv w:val="1"/>
      <w:marLeft w:val="0"/>
      <w:marRight w:val="0"/>
      <w:marTop w:val="0"/>
      <w:marBottom w:val="0"/>
      <w:divBdr>
        <w:top w:val="none" w:sz="0" w:space="0" w:color="auto"/>
        <w:left w:val="none" w:sz="0" w:space="0" w:color="auto"/>
        <w:bottom w:val="none" w:sz="0" w:space="0" w:color="auto"/>
        <w:right w:val="none" w:sz="0" w:space="0" w:color="auto"/>
      </w:divBdr>
    </w:div>
    <w:div w:id="409041372">
      <w:bodyDiv w:val="1"/>
      <w:marLeft w:val="0"/>
      <w:marRight w:val="0"/>
      <w:marTop w:val="0"/>
      <w:marBottom w:val="0"/>
      <w:divBdr>
        <w:top w:val="none" w:sz="0" w:space="0" w:color="auto"/>
        <w:left w:val="none" w:sz="0" w:space="0" w:color="auto"/>
        <w:bottom w:val="none" w:sz="0" w:space="0" w:color="auto"/>
        <w:right w:val="none" w:sz="0" w:space="0" w:color="auto"/>
      </w:divBdr>
    </w:div>
    <w:div w:id="772017901">
      <w:bodyDiv w:val="1"/>
      <w:marLeft w:val="0"/>
      <w:marRight w:val="0"/>
      <w:marTop w:val="0"/>
      <w:marBottom w:val="0"/>
      <w:divBdr>
        <w:top w:val="none" w:sz="0" w:space="0" w:color="auto"/>
        <w:left w:val="none" w:sz="0" w:space="0" w:color="auto"/>
        <w:bottom w:val="none" w:sz="0" w:space="0" w:color="auto"/>
        <w:right w:val="none" w:sz="0" w:space="0" w:color="auto"/>
      </w:divBdr>
    </w:div>
    <w:div w:id="1056469650">
      <w:bodyDiv w:val="1"/>
      <w:marLeft w:val="0"/>
      <w:marRight w:val="0"/>
      <w:marTop w:val="0"/>
      <w:marBottom w:val="0"/>
      <w:divBdr>
        <w:top w:val="none" w:sz="0" w:space="0" w:color="auto"/>
        <w:left w:val="none" w:sz="0" w:space="0" w:color="auto"/>
        <w:bottom w:val="none" w:sz="0" w:space="0" w:color="auto"/>
        <w:right w:val="none" w:sz="0" w:space="0" w:color="auto"/>
      </w:divBdr>
    </w:div>
    <w:div w:id="1268463032">
      <w:bodyDiv w:val="1"/>
      <w:marLeft w:val="0"/>
      <w:marRight w:val="0"/>
      <w:marTop w:val="0"/>
      <w:marBottom w:val="0"/>
      <w:divBdr>
        <w:top w:val="none" w:sz="0" w:space="0" w:color="auto"/>
        <w:left w:val="none" w:sz="0" w:space="0" w:color="auto"/>
        <w:bottom w:val="none" w:sz="0" w:space="0" w:color="auto"/>
        <w:right w:val="none" w:sz="0" w:space="0" w:color="auto"/>
      </w:divBdr>
    </w:div>
    <w:div w:id="1583366229">
      <w:bodyDiv w:val="1"/>
      <w:marLeft w:val="0"/>
      <w:marRight w:val="0"/>
      <w:marTop w:val="0"/>
      <w:marBottom w:val="0"/>
      <w:divBdr>
        <w:top w:val="none" w:sz="0" w:space="0" w:color="auto"/>
        <w:left w:val="none" w:sz="0" w:space="0" w:color="auto"/>
        <w:bottom w:val="none" w:sz="0" w:space="0" w:color="auto"/>
        <w:right w:val="none" w:sz="0" w:space="0" w:color="auto"/>
      </w:divBdr>
    </w:div>
    <w:div w:id="1815219091">
      <w:bodyDiv w:val="1"/>
      <w:marLeft w:val="0"/>
      <w:marRight w:val="0"/>
      <w:marTop w:val="0"/>
      <w:marBottom w:val="0"/>
      <w:divBdr>
        <w:top w:val="none" w:sz="0" w:space="0" w:color="auto"/>
        <w:left w:val="none" w:sz="0" w:space="0" w:color="auto"/>
        <w:bottom w:val="none" w:sz="0" w:space="0" w:color="auto"/>
        <w:right w:val="none" w:sz="0" w:space="0" w:color="auto"/>
      </w:divBdr>
    </w:div>
    <w:div w:id="1876500467">
      <w:bodyDiv w:val="1"/>
      <w:marLeft w:val="0"/>
      <w:marRight w:val="0"/>
      <w:marTop w:val="0"/>
      <w:marBottom w:val="0"/>
      <w:divBdr>
        <w:top w:val="none" w:sz="0" w:space="0" w:color="auto"/>
        <w:left w:val="none" w:sz="0" w:space="0" w:color="auto"/>
        <w:bottom w:val="none" w:sz="0" w:space="0" w:color="auto"/>
        <w:right w:val="none" w:sz="0" w:space="0" w:color="auto"/>
      </w:divBdr>
    </w:div>
    <w:div w:id="19059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0EE6B-E020-4E14-A2C4-E58A6F69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3390</Words>
  <Characters>18647</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Valdez Anguiano</dc:creator>
  <cp:keywords/>
  <dc:description/>
  <cp:lastModifiedBy>Farias Orozco, Anais</cp:lastModifiedBy>
  <cp:revision>2</cp:revision>
  <cp:lastPrinted>2021-06-24T16:21:00Z</cp:lastPrinted>
  <dcterms:created xsi:type="dcterms:W3CDTF">2021-06-24T16:22:00Z</dcterms:created>
  <dcterms:modified xsi:type="dcterms:W3CDTF">2021-06-24T16:22:00Z</dcterms:modified>
</cp:coreProperties>
</file>